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BFF48">
      <w:pPr>
        <w:pStyle w:val="10"/>
        <w:spacing w:line="240" w:lineRule="auto"/>
        <w:ind w:firstLine="0"/>
        <w:jc w:val="center"/>
        <w:rPr>
          <w:rFonts w:ascii="方正小标宋_GBK" w:hAnsi="方正小标宋_GBK" w:eastAsia="方正小标宋_GBK" w:cs="方正小标宋_GBK"/>
          <w:color w:val="000000"/>
          <w:kern w:val="0"/>
          <w:sz w:val="36"/>
          <w:szCs w:val="36"/>
        </w:rPr>
      </w:pPr>
      <w:r>
        <w:rPr>
          <w:rFonts w:hint="eastAsia" w:ascii="方正大标宋简体" w:hAnsi="方正大标宋简体" w:eastAsia="方正大标宋简体" w:cs="方正大标宋简体"/>
          <w:color w:val="000000"/>
          <w:kern w:val="0"/>
          <w:sz w:val="36"/>
          <w:szCs w:val="36"/>
        </w:rPr>
        <w:t>2025</w:t>
      </w:r>
      <w:r>
        <w:rPr>
          <w:rFonts w:hint="eastAsia" w:ascii="方正小标宋_GBK" w:hAnsi="方正小标宋_GBK" w:eastAsia="方正小标宋_GBK" w:cs="方正小标宋_GBK"/>
          <w:color w:val="000000"/>
          <w:kern w:val="0"/>
          <w:sz w:val="36"/>
          <w:szCs w:val="36"/>
        </w:rPr>
        <w:t>年襄阳市襄城区人民法院</w:t>
      </w:r>
    </w:p>
    <w:p w14:paraId="0430451B">
      <w:pPr>
        <w:pStyle w:val="10"/>
        <w:spacing w:line="240" w:lineRule="auto"/>
        <w:ind w:firstLine="0"/>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部门预算公开情况说明</w:t>
      </w:r>
    </w:p>
    <w:p w14:paraId="51B3729B">
      <w:pPr>
        <w:spacing w:line="600" w:lineRule="exact"/>
        <w:rPr>
          <w:rFonts w:ascii="黑体" w:hAnsi="黑体" w:eastAsia="黑体" w:cs="Times New Roman"/>
          <w:sz w:val="32"/>
          <w:szCs w:val="32"/>
        </w:rPr>
      </w:pPr>
    </w:p>
    <w:p w14:paraId="494817EE">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一、部门（单位）主要职责</w:t>
      </w:r>
    </w:p>
    <w:p w14:paraId="6B205484">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襄城区人民法院是国家审判机关，依法独立行使审判权，对襄城区人民代表大会及其常务委员会负责并报告工作。主要职责是：</w:t>
      </w:r>
    </w:p>
    <w:p w14:paraId="43F55668">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（一）依法审理法律规定由本院管辖的第一审刑事、民事和行政案件。</w:t>
      </w:r>
    </w:p>
    <w:p w14:paraId="2C87F590">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（二）依法审理上级法院指定、同级人民法院移送的刑事、民事、行政等第一审案件。</w:t>
      </w:r>
    </w:p>
    <w:p w14:paraId="21D2D634">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（三）依照审判监督程序，审查和受理各类申诉案件，审判各类再审案件。</w:t>
      </w:r>
    </w:p>
    <w:p w14:paraId="549591E2">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四）依法办理已经发生法律效力的民事、行政案件判决和裁定执行事项及刑事案件判决和裁定中关于财产部分的执行事项；办理法律规定由本院执行的其他法律文书的执行事项；统一协调、管理、监督本院的执行工作。</w:t>
      </w:r>
    </w:p>
    <w:p w14:paraId="6FC4FC78">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（五）依法受理国家赔偿案件。</w:t>
      </w:r>
    </w:p>
    <w:p w14:paraId="223822D5">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（六）依法接待和处理来信来访，负责各类案件的立案登记工作。</w:t>
      </w:r>
    </w:p>
    <w:p w14:paraId="3CEEFA59">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（七）调查研究审判工作中的法律政策问题及疑难案件问题，提出解决问题的办法和意见，针对案件审理中发现的问题，提出司法建议。</w:t>
      </w:r>
    </w:p>
    <w:p w14:paraId="015A9FF6">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（八）负责本院干警思想政治教育和业务培训工作；按照权限管理法官、法官助理、执行员、书记员、司法警察、司法鉴定人员、司法行政人员等；协同上级法院及主管部门管理本院的机构设置、人员编制工作。</w:t>
      </w:r>
    </w:p>
    <w:p w14:paraId="10A10C67">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（九）负责本院内部监督和法官惩戒工作。</w:t>
      </w:r>
    </w:p>
    <w:p w14:paraId="5533371B">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（十）负责本院司法行政工作，统一编报本院财务、装备计划，负责财务、装备管理，加强基础建设。</w:t>
      </w:r>
    </w:p>
    <w:p w14:paraId="305A4DA4">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（十一）负责本院司法技术鉴定、信息化建设等管理工作。</w:t>
      </w:r>
    </w:p>
    <w:p w14:paraId="528D3038">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（十二）负责本院党的建设及党员教育管理工作。</w:t>
      </w:r>
    </w:p>
    <w:p w14:paraId="4687EF00">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（十三）结合审判工作，广泛开展法制宣传、新闻报道，教育公民忠于社会主义祖国，自觉遵守宪法、法律和社会公德。</w:t>
      </w:r>
    </w:p>
    <w:p w14:paraId="2A01D312">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（十四）完成上级法院和县（市、区）委、县（市、区）人大交办的其他工作。</w:t>
      </w:r>
    </w:p>
    <w:p w14:paraId="3FBC6D1F">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（十五）承办其他应由基层人民法院负责的工作。</w:t>
      </w:r>
    </w:p>
    <w:p w14:paraId="153BCC9B">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二、机构设置情况</w:t>
      </w:r>
    </w:p>
    <w:p w14:paraId="6F2A30A0">
      <w:pPr>
        <w:spacing w:line="56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襄城区人民法院现设有立案庭、刑事审判庭、民事审判庭、综合审判庭、执行局、政治部、综合办公室、司法警察大队、审判管理办公室共计九个部门，以及檀溪、卧龙、庞公、欧庙四个派出法庭。</w:t>
      </w:r>
    </w:p>
    <w:p w14:paraId="4C01AEE1">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14:paraId="15D2347D">
      <w:pPr>
        <w:spacing w:line="600" w:lineRule="exact"/>
        <w:ind w:firstLine="663" w:firstLineChars="200"/>
        <w:rPr>
          <w:rFonts w:ascii="仿宋_GB2312" w:hAnsi="Calibri" w:eastAsia="仿宋_GB2312" w:cs="Times New Roman"/>
          <w:b/>
          <w:bCs/>
          <w:smallCaps/>
          <w:spacing w:val="5"/>
          <w:sz w:val="32"/>
          <w:szCs w:val="32"/>
        </w:rPr>
      </w:pPr>
      <w:r>
        <w:rPr>
          <w:rFonts w:ascii="仿宋_GB2312" w:hAnsi="Calibri" w:eastAsia="仿宋_GB2312" w:cs="Times New Roman"/>
          <w:b/>
          <w:bCs/>
          <w:smallCaps/>
          <w:spacing w:val="5"/>
          <w:sz w:val="32"/>
          <w:szCs w:val="32"/>
        </w:rPr>
        <w:t>1.</w:t>
      </w:r>
      <w:r>
        <w:rPr>
          <w:rFonts w:hint="eastAsia" w:ascii="仿宋_GB2312" w:hAnsi="Calibri" w:eastAsia="仿宋_GB2312" w:cs="Times New Roman"/>
          <w:b/>
          <w:bCs/>
          <w:smallCaps/>
          <w:spacing w:val="5"/>
          <w:sz w:val="32"/>
          <w:szCs w:val="32"/>
        </w:rPr>
        <w:t>预算收入情况</w:t>
      </w:r>
    </w:p>
    <w:p w14:paraId="613C35BD">
      <w:pPr>
        <w:spacing w:line="600" w:lineRule="exact"/>
        <w:ind w:firstLine="660" w:firstLineChars="200"/>
        <w:rPr>
          <w:rFonts w:ascii="仿宋_GB2312" w:hAnsi="Calibri" w:eastAsia="仿宋_GB2312" w:cs="Times New Roman"/>
          <w:bCs/>
          <w:smallCaps/>
          <w:spacing w:val="5"/>
          <w:sz w:val="32"/>
          <w:szCs w:val="32"/>
        </w:rPr>
      </w:pP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rPr>
        <w:t>5年部门预算收入3752.72万元，比上年增加128.23万元，增长3.54</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，主要原因是按照政策规定增人增资。其中：一般公共预算拨款收入2852.72万元,比上年增加344.4万元，增长13.73</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；其他收入900万元, 比上年减少216.17万元，降低19.37</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w:t>
      </w:r>
    </w:p>
    <w:p w14:paraId="4E773578">
      <w:pPr>
        <w:spacing w:line="600" w:lineRule="exact"/>
        <w:ind w:firstLine="663" w:firstLineChars="200"/>
        <w:rPr>
          <w:rFonts w:ascii="仿宋_GB2312" w:hAnsi="Calibri" w:eastAsia="仿宋_GB2312" w:cs="Times New Roman"/>
          <w:b/>
          <w:bCs/>
          <w:smallCaps/>
          <w:spacing w:val="5"/>
          <w:sz w:val="32"/>
          <w:szCs w:val="32"/>
        </w:rPr>
      </w:pPr>
      <w:r>
        <w:rPr>
          <w:rFonts w:ascii="仿宋_GB2312" w:hAnsi="Calibri" w:eastAsia="仿宋_GB2312" w:cs="Times New Roman"/>
          <w:b/>
          <w:bCs/>
          <w:smallCaps/>
          <w:spacing w:val="5"/>
          <w:sz w:val="32"/>
          <w:szCs w:val="32"/>
        </w:rPr>
        <w:t>2.</w:t>
      </w:r>
      <w:r>
        <w:rPr>
          <w:rFonts w:hint="eastAsia" w:ascii="仿宋_GB2312" w:hAnsi="Calibri" w:eastAsia="仿宋_GB2312" w:cs="Times New Roman"/>
          <w:b/>
          <w:bCs/>
          <w:smallCaps/>
          <w:spacing w:val="5"/>
          <w:sz w:val="32"/>
          <w:szCs w:val="32"/>
        </w:rPr>
        <w:t>预算支出情况</w:t>
      </w:r>
    </w:p>
    <w:p w14:paraId="645E20C1">
      <w:pPr>
        <w:spacing w:line="600" w:lineRule="exact"/>
        <w:ind w:firstLine="660" w:firstLineChars="200"/>
        <w:rPr>
          <w:rFonts w:ascii="仿宋_GB2312" w:hAnsi="Calibri" w:eastAsia="仿宋_GB2312" w:cs="Times New Roman"/>
          <w:sz w:val="32"/>
          <w:szCs w:val="32"/>
        </w:rPr>
      </w:pPr>
      <w:r>
        <w:rPr>
          <w:rFonts w:hint="eastAsia" w:ascii="仿宋_GB2312" w:hAnsi="Calibri" w:eastAsia="仿宋_GB2312" w:cs="Times New Roman"/>
          <w:bCs/>
          <w:smallCaps/>
          <w:spacing w:val="5"/>
          <w:sz w:val="32"/>
          <w:szCs w:val="32"/>
        </w:rPr>
        <w:t>2025年部门预算支出3752.72万元，比上年增加128.23万元，增长3.54</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。其中：公共安全支出3138.77万元，比上年增加95.17万元，增长3.13</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；社会保障和就业支出455.02万元，比上年增加32.89万元，增长7.79</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；住房保障支出158.93万元，比上年增加0.17万元，增长0.11</w:t>
      </w:r>
      <w:r>
        <w:rPr>
          <w:rFonts w:ascii="仿宋_GB2312" w:hAnsi="Calibri" w:eastAsia="仿宋_GB2312" w:cs="Times New Roman"/>
          <w:bCs/>
          <w:smallCaps/>
          <w:spacing w:val="5"/>
          <w:sz w:val="32"/>
          <w:szCs w:val="32"/>
        </w:rPr>
        <w:t>%</w:t>
      </w:r>
      <w:r>
        <w:rPr>
          <w:rFonts w:hint="eastAsia" w:ascii="仿宋_GB2312" w:hAnsi="Calibri" w:eastAsia="仿宋_GB2312" w:cs="Times New Roman"/>
          <w:sz w:val="32"/>
          <w:szCs w:val="32"/>
        </w:rPr>
        <w:t>。</w:t>
      </w:r>
    </w:p>
    <w:p w14:paraId="5730984D">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支出</w:t>
      </w:r>
      <w:r>
        <w:rPr>
          <w:rFonts w:hint="eastAsia" w:ascii="仿宋_GB2312" w:hAnsi="Calibri" w:eastAsia="仿宋_GB2312" w:cs="Times New Roman"/>
          <w:bCs/>
          <w:smallCaps/>
          <w:spacing w:val="5"/>
          <w:sz w:val="32"/>
          <w:szCs w:val="32"/>
        </w:rPr>
        <w:t>增加</w:t>
      </w:r>
      <w:r>
        <w:rPr>
          <w:rFonts w:hint="eastAsia" w:ascii="仿宋_GB2312" w:hAnsi="Calibri" w:eastAsia="仿宋_GB2312" w:cs="Times New Roman"/>
          <w:sz w:val="32"/>
          <w:szCs w:val="32"/>
        </w:rPr>
        <w:t>的主要原因：</w:t>
      </w:r>
    </w:p>
    <w:p w14:paraId="2FF03AE5">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202</w:t>
      </w:r>
      <w:r>
        <w:rPr>
          <w:rFonts w:hint="eastAsia" w:ascii="仿宋_GB2312" w:hAnsi="Calibri" w:eastAsia="仿宋_GB2312" w:cs="Times New Roman"/>
          <w:sz w:val="32"/>
          <w:szCs w:val="32"/>
        </w:rPr>
        <w:t>5年基本支出2628.71万元，比上年</w:t>
      </w:r>
      <w:r>
        <w:rPr>
          <w:rFonts w:hint="eastAsia" w:ascii="仿宋_GB2312" w:hAnsi="Calibri" w:eastAsia="仿宋_GB2312" w:cs="Times New Roman"/>
          <w:bCs/>
          <w:smallCaps/>
          <w:spacing w:val="5"/>
          <w:sz w:val="32"/>
          <w:szCs w:val="32"/>
        </w:rPr>
        <w:t>增加210.01</w:t>
      </w:r>
      <w:r>
        <w:rPr>
          <w:rFonts w:hint="eastAsia" w:ascii="仿宋_GB2312" w:hAnsi="Calibri" w:eastAsia="仿宋_GB2312" w:cs="Times New Roman"/>
          <w:sz w:val="32"/>
          <w:szCs w:val="32"/>
        </w:rPr>
        <w:t>万元，</w:t>
      </w:r>
      <w:r>
        <w:rPr>
          <w:rFonts w:hint="eastAsia" w:ascii="仿宋_GB2312" w:hAnsi="Calibri" w:eastAsia="仿宋_GB2312" w:cs="Times New Roman"/>
          <w:bCs/>
          <w:smallCaps/>
          <w:spacing w:val="5"/>
          <w:sz w:val="32"/>
          <w:szCs w:val="32"/>
        </w:rPr>
        <w:t>增长8.68%，</w:t>
      </w:r>
      <w:r>
        <w:rPr>
          <w:rFonts w:hint="eastAsia" w:ascii="仿宋_GB2312" w:hAnsi="Calibri" w:eastAsia="仿宋_GB2312" w:cs="Times New Roman"/>
          <w:sz w:val="32"/>
          <w:szCs w:val="32"/>
        </w:rPr>
        <w:t>主要原因是按政策规定增人增资，预算相应增长。</w:t>
      </w:r>
    </w:p>
    <w:p w14:paraId="72623B56">
      <w:pPr>
        <w:spacing w:line="60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2</w:t>
      </w: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202</w:t>
      </w:r>
      <w:r>
        <w:rPr>
          <w:rFonts w:hint="eastAsia" w:ascii="仿宋_GB2312" w:hAnsi="Calibri" w:eastAsia="仿宋_GB2312" w:cs="Times New Roman"/>
          <w:color w:val="000000"/>
          <w:sz w:val="32"/>
          <w:szCs w:val="32"/>
        </w:rPr>
        <w:t>5年项目支出1124.01</w:t>
      </w:r>
      <w:r>
        <w:rPr>
          <w:rFonts w:hint="eastAsia" w:ascii="仿宋_GB2312" w:hAnsi="Calibri" w:eastAsia="仿宋_GB2312" w:cs="Times New Roman"/>
          <w:sz w:val="32"/>
          <w:szCs w:val="32"/>
        </w:rPr>
        <w:t>万元，</w:t>
      </w:r>
      <w:r>
        <w:rPr>
          <w:rFonts w:hint="eastAsia" w:ascii="仿宋_GB2312" w:hAnsi="Calibri" w:eastAsia="仿宋_GB2312" w:cs="Times New Roman"/>
          <w:color w:val="000000"/>
          <w:sz w:val="32"/>
          <w:szCs w:val="32"/>
        </w:rPr>
        <w:t>比上年</w:t>
      </w:r>
      <w:r>
        <w:rPr>
          <w:rFonts w:hint="eastAsia" w:ascii="仿宋_GB2312" w:hAnsi="Calibri" w:eastAsia="仿宋_GB2312" w:cs="Times New Roman"/>
          <w:bCs/>
          <w:smallCaps/>
          <w:spacing w:val="5"/>
          <w:sz w:val="32"/>
          <w:szCs w:val="32"/>
        </w:rPr>
        <w:t>减少81.78</w:t>
      </w:r>
      <w:r>
        <w:rPr>
          <w:rFonts w:hint="eastAsia" w:ascii="仿宋_GB2312" w:hAnsi="Calibri" w:eastAsia="仿宋_GB2312" w:cs="Times New Roman"/>
          <w:color w:val="000000"/>
          <w:sz w:val="32"/>
          <w:szCs w:val="32"/>
        </w:rPr>
        <w:t>万元，</w:t>
      </w:r>
      <w:r>
        <w:rPr>
          <w:rFonts w:hint="eastAsia" w:ascii="仿宋_GB2312" w:hAnsi="Calibri" w:eastAsia="仿宋_GB2312" w:cs="Times New Roman"/>
          <w:bCs/>
          <w:smallCaps/>
          <w:spacing w:val="5"/>
          <w:sz w:val="32"/>
          <w:szCs w:val="32"/>
        </w:rPr>
        <w:t>降低6.78%，</w:t>
      </w:r>
      <w:r>
        <w:rPr>
          <w:rFonts w:hint="eastAsia" w:ascii="仿宋_GB2312" w:hAnsi="Calibri" w:eastAsia="仿宋_GB2312" w:cs="Times New Roman"/>
          <w:sz w:val="32"/>
          <w:szCs w:val="32"/>
        </w:rPr>
        <w:t>主要原因是坚持“过紧日子”思想，压减一般性支出</w:t>
      </w:r>
      <w:r>
        <w:rPr>
          <w:rFonts w:hint="eastAsia" w:ascii="仿宋_GB2312" w:hAnsi="Calibri" w:eastAsia="仿宋_GB2312" w:cs="Times New Roman"/>
          <w:color w:val="000000"/>
          <w:sz w:val="32"/>
          <w:szCs w:val="32"/>
        </w:rPr>
        <w:t>。</w:t>
      </w:r>
    </w:p>
    <w:p w14:paraId="2EA816B6">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14:paraId="1AE66953">
      <w:pPr>
        <w:autoSpaceDE w:val="0"/>
        <w:autoSpaceDN w:val="0"/>
        <w:adjustRightInd w:val="0"/>
        <w:spacing w:line="600" w:lineRule="exact"/>
        <w:ind w:firstLine="640" w:firstLineChars="200"/>
        <w:rPr>
          <w:rFonts w:ascii="仿宋_GB2312" w:hAnsi="宋体" w:eastAsia="仿宋_GB2312" w:cs=".PingFang-SC-Light"/>
          <w:kern w:val="0"/>
          <w:sz w:val="32"/>
          <w:szCs w:val="32"/>
        </w:rPr>
      </w:pPr>
      <w:r>
        <w:rPr>
          <w:rFonts w:ascii="仿宋_GB2312" w:hAnsi="Calibri" w:eastAsia="仿宋_GB2312" w:cs="Times New Roman"/>
          <w:sz w:val="32"/>
          <w:szCs w:val="32"/>
        </w:rPr>
        <w:t>202</w:t>
      </w:r>
      <w:r>
        <w:rPr>
          <w:rFonts w:hint="eastAsia" w:ascii="仿宋_GB2312" w:hAnsi="Calibri" w:eastAsia="仿宋_GB2312" w:cs="Times New Roman"/>
          <w:sz w:val="32"/>
          <w:szCs w:val="32"/>
        </w:rPr>
        <w:t>5年机关运行经费185.96万元，较上年相比减少9.42万元，降低4.82</w:t>
      </w:r>
      <w:r>
        <w:rPr>
          <w:rFonts w:ascii="仿宋_GB2312" w:hAnsi="Calibri" w:eastAsia="仿宋_GB2312" w:cs="Times New Roman"/>
          <w:sz w:val="32"/>
          <w:szCs w:val="32"/>
        </w:rPr>
        <w:t>%</w:t>
      </w:r>
      <w:r>
        <w:rPr>
          <w:rFonts w:hint="eastAsia" w:ascii="仿宋_GB2312" w:hAnsi="Calibri" w:eastAsia="仿宋_GB2312" w:cs="Times New Roman"/>
          <w:sz w:val="32"/>
          <w:szCs w:val="32"/>
        </w:rPr>
        <w:t>，主要原因是坚持“过紧日子”思想，压减一般性支出。</w:t>
      </w:r>
      <w:r>
        <w:rPr>
          <w:rFonts w:hint="eastAsia" w:ascii="仿宋_GB2312" w:hAnsi="宋体" w:eastAsia="仿宋_GB2312" w:cs="Times New Roman"/>
          <w:sz w:val="32"/>
          <w:szCs w:val="32"/>
        </w:rPr>
        <w:t>其中：办公费20万元、水费2.4万元、电费20万元、公务接待费5万元、公务用车运行维护费34万、工会经费22.8万元、其他交通费用56.76万元、其他商品和服务支出25万元</w:t>
      </w:r>
      <w:r>
        <w:rPr>
          <w:rFonts w:hint="eastAsia" w:ascii="仿宋_GB2312" w:hAnsi="宋体" w:eastAsia="仿宋_GB2312" w:cs=".PingFang-SC-Light"/>
          <w:kern w:val="0"/>
          <w:sz w:val="32"/>
          <w:szCs w:val="32"/>
        </w:rPr>
        <w:t>。</w:t>
      </w:r>
    </w:p>
    <w:p w14:paraId="7F5453F1">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14:paraId="4F62B9E3">
      <w:pPr>
        <w:spacing w:line="60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202</w:t>
      </w:r>
      <w:r>
        <w:rPr>
          <w:rFonts w:hint="eastAsia" w:ascii="仿宋_GB2312" w:hAnsi="Calibri" w:eastAsia="仿宋_GB2312" w:cs="Times New Roman"/>
          <w:sz w:val="32"/>
          <w:szCs w:val="32"/>
        </w:rPr>
        <w:t>5年“三公”经费财政拨款预算39万元，与2024年持平。其中：</w:t>
      </w:r>
    </w:p>
    <w:p w14:paraId="6DFD1561">
      <w:pPr>
        <w:autoSpaceDE w:val="0"/>
        <w:autoSpaceDN w:val="0"/>
        <w:adjustRightInd w:val="0"/>
        <w:spacing w:line="600" w:lineRule="exact"/>
        <w:ind w:firstLine="640" w:firstLineChars="200"/>
        <w:rPr>
          <w:rFonts w:ascii="仿宋_GB2312" w:hAnsi="宋体" w:eastAsia="仿宋_GB2312" w:cs="宋体"/>
          <w:kern w:val="0"/>
          <w:sz w:val="32"/>
          <w:szCs w:val="32"/>
        </w:rPr>
      </w:pPr>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因公出国（境）</w:t>
      </w:r>
      <w:r>
        <w:rPr>
          <w:rFonts w:hint="eastAsia" w:ascii="仿宋_GB2312" w:hAnsi="宋体" w:eastAsia="仿宋_GB2312" w:cs="宋体"/>
          <w:kern w:val="0"/>
          <w:sz w:val="32"/>
          <w:szCs w:val="32"/>
        </w:rPr>
        <w:t>费0万元，比上年增加0万元。</w:t>
      </w:r>
    </w:p>
    <w:p w14:paraId="31F51829">
      <w:pPr>
        <w:spacing w:line="600" w:lineRule="exact"/>
        <w:ind w:firstLine="640" w:firstLineChars="200"/>
        <w:rPr>
          <w:rFonts w:ascii="仿宋_GB2312" w:hAnsi="Calibri" w:eastAsia="仿宋_GB2312" w:cs="Times New Roman"/>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费5</w:t>
      </w:r>
      <w:r>
        <w:rPr>
          <w:rFonts w:hint="eastAsia" w:ascii="仿宋_GB2312" w:hAnsi="Times New Roman" w:eastAsia="仿宋_GB2312" w:cs=".PingFang-SC-Light"/>
          <w:kern w:val="0"/>
          <w:sz w:val="32"/>
          <w:szCs w:val="32"/>
        </w:rPr>
        <w:t>万元，</w:t>
      </w:r>
      <w:r>
        <w:rPr>
          <w:rFonts w:hint="eastAsia" w:ascii="仿宋_GB2312" w:hAnsi="宋体" w:eastAsia="仿宋_GB2312" w:cs="宋体"/>
          <w:kern w:val="0"/>
          <w:sz w:val="32"/>
          <w:szCs w:val="32"/>
        </w:rPr>
        <w:t>比上年增加0万元</w:t>
      </w:r>
      <w:r>
        <w:rPr>
          <w:rFonts w:hint="eastAsia" w:ascii="仿宋_GB2312" w:hAnsi="Calibri" w:eastAsia="仿宋_GB2312" w:cs="Times New Roman"/>
          <w:sz w:val="32"/>
          <w:szCs w:val="32"/>
        </w:rPr>
        <w:t>。</w:t>
      </w:r>
    </w:p>
    <w:p w14:paraId="55FE928A">
      <w:pPr>
        <w:autoSpaceDE w:val="0"/>
        <w:autoSpaceDN w:val="0"/>
        <w:adjustRightInd w:val="0"/>
        <w:spacing w:line="600" w:lineRule="exact"/>
        <w:ind w:firstLine="640" w:firstLineChars="200"/>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公务用车购置及运行维护费34万元，</w:t>
      </w:r>
      <w:r>
        <w:rPr>
          <w:rFonts w:hint="eastAsia" w:ascii="仿宋_GB2312" w:hAnsi="宋体" w:eastAsia="仿宋_GB2312" w:cs="宋体"/>
          <w:kern w:val="0"/>
          <w:sz w:val="32"/>
          <w:szCs w:val="32"/>
        </w:rPr>
        <w:t>比上年增加0万元</w:t>
      </w:r>
      <w:r>
        <w:rPr>
          <w:rFonts w:hint="eastAsia" w:ascii="仿宋_GB2312" w:hAnsi="Times New Roman" w:eastAsia="仿宋_GB2312" w:cs=".PingFang-SC-Light"/>
          <w:kern w:val="0"/>
          <w:sz w:val="32"/>
          <w:szCs w:val="32"/>
        </w:rPr>
        <w:t>。其中公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置费0</w:t>
      </w:r>
      <w:r>
        <w:rPr>
          <w:rFonts w:hint="eastAsia" w:ascii="仿宋_GB2312" w:hAnsi="Times New Roman" w:eastAsia="仿宋_GB2312" w:cs=".PingFang-SC-Light"/>
          <w:kern w:val="0"/>
          <w:sz w:val="32"/>
          <w:szCs w:val="32"/>
        </w:rPr>
        <w:t>万元，</w:t>
      </w:r>
      <w:r>
        <w:rPr>
          <w:rFonts w:hint="eastAsia" w:ascii="仿宋_GB2312" w:hAnsi="宋体" w:eastAsia="仿宋_GB2312" w:cs="宋体"/>
          <w:kern w:val="0"/>
          <w:sz w:val="32"/>
          <w:szCs w:val="32"/>
        </w:rPr>
        <w:t>比上年增加0万元</w:t>
      </w:r>
      <w:r>
        <w:rPr>
          <w:rFonts w:hint="eastAsia" w:ascii="仿宋_GB2312" w:hAnsi="Times New Roman" w:eastAsia="仿宋_GB2312" w:cs=".PingFang-SC-Light"/>
          <w:kern w:val="0"/>
          <w:sz w:val="32"/>
          <w:szCs w:val="32"/>
        </w:rPr>
        <w:t>；公务用车运行维护费34万元，</w:t>
      </w:r>
      <w:r>
        <w:rPr>
          <w:rFonts w:hint="eastAsia" w:ascii="仿宋_GB2312" w:hAnsi="宋体" w:eastAsia="仿宋_GB2312" w:cs="宋体"/>
          <w:kern w:val="0"/>
          <w:sz w:val="32"/>
          <w:szCs w:val="32"/>
        </w:rPr>
        <w:t>比上年增加0万元</w:t>
      </w:r>
      <w:r>
        <w:rPr>
          <w:rFonts w:hint="eastAsia" w:ascii="仿宋_GB2312" w:hAnsi="Times New Roman" w:eastAsia="仿宋_GB2312" w:cs=".PingFang-SC-Light"/>
          <w:kern w:val="0"/>
          <w:sz w:val="32"/>
          <w:szCs w:val="32"/>
        </w:rPr>
        <w:t>。</w:t>
      </w:r>
    </w:p>
    <w:p w14:paraId="46BA22BD">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14:paraId="5B54E8C0">
      <w:pPr>
        <w:spacing w:line="600" w:lineRule="exact"/>
        <w:ind w:firstLine="640" w:firstLineChars="200"/>
        <w:rPr>
          <w:rFonts w:ascii="仿宋_GB2312" w:hAnsi="Calibri" w:eastAsia="仿宋_GB2312" w:cs="Times New Roman"/>
          <w:color w:val="FF0000"/>
          <w:sz w:val="32"/>
          <w:szCs w:val="32"/>
        </w:rPr>
      </w:pPr>
      <w:r>
        <w:rPr>
          <w:rFonts w:ascii="仿宋_GB2312" w:hAnsi="Calibri" w:eastAsia="仿宋_GB2312" w:cs="Times New Roman"/>
          <w:sz w:val="32"/>
          <w:szCs w:val="32"/>
        </w:rPr>
        <w:t>202</w:t>
      </w:r>
      <w:r>
        <w:rPr>
          <w:rFonts w:hint="eastAsia" w:ascii="仿宋_GB2312" w:hAnsi="Calibri" w:eastAsia="仿宋_GB2312" w:cs="Times New Roman"/>
          <w:sz w:val="32"/>
          <w:szCs w:val="32"/>
        </w:rPr>
        <w:t>5年编制政府采购预算135万元，比上年度减少537.5万元，降低79.93</w:t>
      </w:r>
      <w:r>
        <w:rPr>
          <w:rFonts w:ascii="仿宋_GB2312" w:hAnsi="Calibri" w:eastAsia="仿宋_GB2312" w:cs="Times New Roman"/>
          <w:sz w:val="32"/>
          <w:szCs w:val="32"/>
        </w:rPr>
        <w:t>%</w:t>
      </w:r>
      <w:r>
        <w:rPr>
          <w:rFonts w:hint="eastAsia" w:ascii="仿宋_GB2312" w:hAnsi="Calibri" w:eastAsia="仿宋_GB2312" w:cs="Times New Roman"/>
          <w:sz w:val="32"/>
          <w:szCs w:val="32"/>
        </w:rPr>
        <w:t>，主要原因比上年减少工程类政府采购预算。其中：货物类政府采购预算95.7万元，主要用于计算机、车辆、打印机、软件、复印纸等；</w:t>
      </w:r>
      <w:r>
        <w:rPr>
          <w:rFonts w:hint="eastAsia" w:ascii="仿宋_GB2312" w:hAnsi="MS Mincho" w:eastAsia="仿宋_GB2312" w:cs="MS Mincho"/>
          <w:kern w:val="0"/>
          <w:sz w:val="32"/>
          <w:szCs w:val="32"/>
        </w:rPr>
        <w:t>服</w:t>
      </w:r>
      <w:r>
        <w:rPr>
          <w:rFonts w:hint="eastAsia" w:ascii="仿宋_GB2312" w:hAnsi="宋体" w:eastAsia="仿宋_GB2312" w:cs="宋体"/>
          <w:kern w:val="0"/>
          <w:sz w:val="32"/>
          <w:szCs w:val="32"/>
        </w:rPr>
        <w:t>务类</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购预</w:t>
      </w:r>
      <w:r>
        <w:rPr>
          <w:rFonts w:hint="eastAsia" w:ascii="仿宋_GB2312" w:hAnsi="MS Mincho" w:eastAsia="仿宋_GB2312" w:cs="MS Mincho"/>
          <w:kern w:val="0"/>
          <w:sz w:val="32"/>
          <w:szCs w:val="32"/>
        </w:rPr>
        <w:t>算39.3</w:t>
      </w:r>
      <w:r>
        <w:rPr>
          <w:rFonts w:hint="eastAsia" w:ascii="仿宋_GB2312" w:hAnsi="Times New Roman" w:eastAsia="仿宋_GB2312" w:cs=".PingFang-SC-Light"/>
          <w:kern w:val="0"/>
          <w:sz w:val="32"/>
          <w:szCs w:val="32"/>
        </w:rPr>
        <w:t>万元，</w:t>
      </w:r>
      <w:r>
        <w:rPr>
          <w:rFonts w:hint="eastAsia" w:ascii="仿宋_GB2312" w:hAnsi="Calibri" w:eastAsia="仿宋_GB2312" w:cs="Times New Roman"/>
          <w:sz w:val="32"/>
          <w:szCs w:val="32"/>
        </w:rPr>
        <w:t>主要用于物业管理服务、车辆加油服务</w:t>
      </w:r>
      <w:r>
        <w:rPr>
          <w:rFonts w:hint="eastAsia" w:ascii="仿宋_GB2312" w:hAnsi="MS Mincho" w:eastAsia="仿宋_GB2312" w:cs="MS Mincho"/>
          <w:kern w:val="0"/>
          <w:sz w:val="32"/>
          <w:szCs w:val="32"/>
        </w:rPr>
        <w:t>。</w:t>
      </w:r>
      <w:r>
        <w:rPr>
          <w:rFonts w:ascii="仿宋_GB2312" w:hAnsi="MS Mincho" w:eastAsia="仿宋_GB2312" w:cs="MS Mincho"/>
          <w:kern w:val="0"/>
          <w:sz w:val="32"/>
          <w:szCs w:val="32"/>
        </w:rPr>
        <w:t>202</w:t>
      </w:r>
      <w:r>
        <w:rPr>
          <w:rFonts w:hint="eastAsia" w:ascii="仿宋_GB2312" w:hAnsi="MS Mincho" w:eastAsia="仿宋_GB2312" w:cs="MS Mincho"/>
          <w:kern w:val="0"/>
          <w:sz w:val="32"/>
          <w:szCs w:val="32"/>
        </w:rPr>
        <w:t>5年面向中小企业采购预算127万元，其中面向小微企业采购预算34.8万元。</w:t>
      </w:r>
    </w:p>
    <w:p w14:paraId="24114142">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14:paraId="587BBDFB">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截至</w:t>
      </w:r>
      <w:r>
        <w:rPr>
          <w:rFonts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rPr>
        <w:t>4年，我院</w:t>
      </w:r>
      <w:r>
        <w:rPr>
          <w:rFonts w:hint="eastAsia" w:ascii="仿宋_GB2312" w:hAnsi="MS Mincho" w:eastAsia="仿宋_GB2312" w:cs="MS Mincho"/>
          <w:kern w:val="0"/>
          <w:sz w:val="32"/>
          <w:szCs w:val="32"/>
        </w:rPr>
        <w:t>房屋面</w:t>
      </w:r>
      <w:r>
        <w:rPr>
          <w:rFonts w:hint="eastAsia" w:ascii="仿宋_GB2312" w:hAnsi="宋体" w:eastAsia="仿宋_GB2312" w:cs="宋体"/>
          <w:kern w:val="0"/>
          <w:sz w:val="32"/>
          <w:szCs w:val="32"/>
        </w:rPr>
        <w:t>积17078.22平方米，其中：</w:t>
      </w:r>
      <w:r>
        <w:rPr>
          <w:rFonts w:hint="eastAsia" w:ascii="仿宋_GB2312" w:hAnsi="Times New Roman" w:eastAsia="仿宋_GB2312" w:cs=".PingFang-SC-Light"/>
          <w:kern w:val="0"/>
          <w:sz w:val="32"/>
          <w:szCs w:val="32"/>
        </w:rPr>
        <w:t>办公用房建筑面积8901.39平方米，业务用房建筑面积7115.52平方米，其他1061.31平方米。</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车15辆，其中：</w:t>
      </w:r>
      <w:r>
        <w:rPr>
          <w:rFonts w:hint="eastAsia" w:ascii="仿宋_GB2312" w:hAnsi="Times New Roman" w:eastAsia="仿宋_GB2312" w:cs=".PingFang-SC-Light"/>
          <w:kern w:val="0"/>
          <w:sz w:val="32"/>
          <w:szCs w:val="32"/>
        </w:rPr>
        <w:t>应急保障用车2辆、执法执勤用车10辆、特种专业技术用车3辆（1辆囚车，2辆巡回审判车）</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ascii="仿宋_GB2312" w:hAnsi="Times New Roman" w:eastAsia="仿宋_GB2312" w:cs=".PingFang-SC-Light"/>
          <w:kern w:val="0"/>
          <w:sz w:val="32"/>
          <w:szCs w:val="32"/>
        </w:rPr>
        <w:t>50</w:t>
      </w:r>
      <w:r>
        <w:rPr>
          <w:rFonts w:hint="eastAsia" w:ascii="仿宋_GB2312" w:hAnsi="Times New Roman" w:eastAsia="仿宋_GB2312" w:cs=".PingFang-SC-Light"/>
          <w:kern w:val="0"/>
          <w:sz w:val="32"/>
          <w:szCs w:val="32"/>
        </w:rPr>
        <w:t>万元以上的通用</w:t>
      </w:r>
      <w:r>
        <w:rPr>
          <w:rFonts w:hint="eastAsia" w:ascii="仿宋_GB2312" w:hAnsi="宋体" w:eastAsia="仿宋_GB2312" w:cs="宋体"/>
          <w:kern w:val="0"/>
          <w:sz w:val="32"/>
          <w:szCs w:val="32"/>
        </w:rPr>
        <w:t>设备4</w:t>
      </w:r>
      <w:r>
        <w:rPr>
          <w:rFonts w:hint="eastAsia" w:ascii="仿宋_GB2312" w:hAnsi="Times New Roman" w:eastAsia="仿宋_GB2312" w:cs=".PingFang-SC-Light"/>
          <w:kern w:val="0"/>
          <w:sz w:val="32"/>
          <w:szCs w:val="32"/>
        </w:rPr>
        <w:t>套，</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ascii="仿宋_GB2312" w:hAnsi="Times New Roman" w:eastAsia="仿宋_GB2312" w:cs=".PingFang-SC-Light"/>
          <w:kern w:val="0"/>
          <w:sz w:val="32"/>
          <w:szCs w:val="32"/>
        </w:rPr>
        <w:t>100</w:t>
      </w:r>
      <w:r>
        <w:rPr>
          <w:rFonts w:hint="eastAsia" w:ascii="仿宋_GB2312" w:hAnsi="Times New Roman" w:eastAsia="仿宋_GB2312" w:cs=".PingFang-SC-Light"/>
          <w:kern w:val="0"/>
          <w:sz w:val="32"/>
          <w:szCs w:val="32"/>
        </w:rPr>
        <w:t>万元以上的</w:t>
      </w:r>
      <w:r>
        <w:rPr>
          <w:rFonts w:hint="eastAsia" w:ascii="仿宋_GB2312" w:hAnsi="宋体" w:eastAsia="仿宋_GB2312" w:cs="宋体"/>
          <w:kern w:val="0"/>
          <w:sz w:val="32"/>
          <w:szCs w:val="32"/>
        </w:rPr>
        <w:t>专</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数量</w:t>
      </w:r>
      <w:r>
        <w:rPr>
          <w:rFonts w:hint="eastAsia" w:ascii="仿宋_GB2312" w:hAnsi="宋体" w:eastAsia="仿宋_GB2312" w:cs="宋体"/>
          <w:kern w:val="0"/>
          <w:sz w:val="32"/>
          <w:szCs w:val="32"/>
        </w:rPr>
        <w:t>为</w:t>
      </w:r>
      <w:r>
        <w:rPr>
          <w:rFonts w:hint="eastAsia" w:ascii="仿宋_GB2312" w:hAnsi="Times New Roman" w:eastAsia="仿宋_GB2312" w:cs=".PingFang-SC-Light"/>
          <w:kern w:val="0"/>
          <w:sz w:val="32"/>
          <w:szCs w:val="32"/>
        </w:rPr>
        <w:t>0套。</w:t>
      </w:r>
    </w:p>
    <w:p w14:paraId="76BC9248">
      <w:pPr>
        <w:spacing w:line="600" w:lineRule="exact"/>
        <w:ind w:firstLine="640" w:firstLineChars="200"/>
        <w:rPr>
          <w:rFonts w:ascii="黑体" w:hAnsi="黑体" w:eastAsia="黑体" w:cs="Times New Roman"/>
          <w:sz w:val="32"/>
          <w:szCs w:val="32"/>
          <w:highlight w:val="yellow"/>
        </w:rPr>
      </w:pPr>
      <w:r>
        <w:rPr>
          <w:rFonts w:hint="eastAsia" w:ascii="黑体" w:hAnsi="黑体" w:eastAsia="黑体" w:cs="Times New Roman"/>
          <w:sz w:val="32"/>
          <w:szCs w:val="32"/>
        </w:rPr>
        <w:t>八、重点项目预算绩效情况</w:t>
      </w:r>
    </w:p>
    <w:p w14:paraId="6C4379FF">
      <w:pPr>
        <w:spacing w:line="540" w:lineRule="exact"/>
        <w:ind w:firstLine="640" w:firstLineChars="200"/>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办案业务专项经费”项目主要内容是为辖区内刑事、民事、行政、执行等案件办案经费及审判管理、司法救助、劳务派遣人员劳务费支出、突发事件处置等特殊情况提供经费保障。2025年预算安排345.29万元，资金来源为:一般公共预算财政拨款43.64万元</w:t>
      </w:r>
      <w:r>
        <w:rPr>
          <w:rFonts w:hint="eastAsia" w:ascii="仿宋_GB2312" w:hAnsi="Times New Roman" w:eastAsia="仿宋_GB2312" w:cs=".PingFang-SC-Light"/>
          <w:kern w:val="0"/>
          <w:sz w:val="32"/>
          <w:szCs w:val="32"/>
          <w:lang w:val="en-US" w:eastAsia="zh-CN"/>
        </w:rPr>
        <w:t>，</w:t>
      </w:r>
      <w:bookmarkStart w:id="0" w:name="_GoBack"/>
      <w:bookmarkEnd w:id="0"/>
      <w:r>
        <w:rPr>
          <w:rFonts w:hint="eastAsia" w:ascii="仿宋_GB2312" w:hAnsi="Times New Roman" w:eastAsia="仿宋_GB2312" w:cs=".PingFang-SC-Light"/>
          <w:kern w:val="0"/>
          <w:sz w:val="32"/>
          <w:szCs w:val="32"/>
        </w:rPr>
        <w:t xml:space="preserve">其他资金301.65万元。 </w:t>
      </w:r>
    </w:p>
    <w:p w14:paraId="65BB338C">
      <w:pPr>
        <w:spacing w:line="540" w:lineRule="exact"/>
        <w:ind w:firstLine="640" w:firstLineChars="200"/>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项目绩效年度目标：按照年度办案工作部署，依法完成民事、刑事、行政、执行等各类办案工作，保障司法办案工作有序开展，维护社会大局稳定、促进社会公平正义。</w:t>
      </w:r>
    </w:p>
    <w:p w14:paraId="549CDC7F">
      <w:pPr>
        <w:spacing w:line="540" w:lineRule="exact"/>
        <w:ind w:firstLine="640" w:firstLineChars="200"/>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年度目标下设绩效指标共5个，其中数量指标1个，质量指标1个，社会效益指标1个，服务对象满意度指标1个，成本指标1个。</w:t>
      </w:r>
    </w:p>
    <w:p w14:paraId="37EF6738">
      <w:pPr>
        <w:spacing w:line="540" w:lineRule="exact"/>
        <w:ind w:firstLine="640" w:firstLineChars="200"/>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数量指标：法官人均结案数≥280件。</w:t>
      </w:r>
    </w:p>
    <w:p w14:paraId="479AF801">
      <w:pPr>
        <w:spacing w:line="540" w:lineRule="exact"/>
        <w:ind w:firstLine="640" w:firstLineChars="200"/>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质量指标：首执案件终本率≤40%。</w:t>
      </w:r>
    </w:p>
    <w:p w14:paraId="689939EF">
      <w:pPr>
        <w:spacing w:line="540" w:lineRule="exact"/>
        <w:ind w:firstLine="640" w:firstLineChars="200"/>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社会效益指标：保障当事人合法权益（定性）保障。</w:t>
      </w:r>
    </w:p>
    <w:p w14:paraId="129C97CB">
      <w:pPr>
        <w:spacing w:line="540" w:lineRule="exact"/>
        <w:ind w:firstLine="640" w:firstLineChars="200"/>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服务对象满意度指标：诉讼服务满意度≥90%。</w:t>
      </w:r>
    </w:p>
    <w:p w14:paraId="202C7F60">
      <w:pPr>
        <w:spacing w:line="540" w:lineRule="exact"/>
        <w:ind w:firstLine="640" w:firstLineChars="200"/>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成本指标：项目成本控制率≤100%。</w:t>
      </w:r>
    </w:p>
    <w:p w14:paraId="12B752ED">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14:paraId="3C649DB1">
      <w:pPr>
        <w:pStyle w:val="4"/>
        <w:spacing w:before="0" w:beforeAutospacing="0" w:after="0" w:afterAutospacing="0" w:line="600" w:lineRule="exact"/>
        <w:ind w:firstLine="643" w:firstLineChars="20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（一）对空表的说明</w:t>
      </w:r>
    </w:p>
    <w:p w14:paraId="2C6023AF">
      <w:pPr>
        <w:pStyle w:val="4"/>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襄城区人民法院2025年无政府性基金预算支出,故该表为空表。</w:t>
      </w:r>
    </w:p>
    <w:p w14:paraId="58AC4365">
      <w:pPr>
        <w:pStyle w:val="4"/>
        <w:spacing w:before="0" w:beforeAutospacing="0" w:after="0" w:afterAutospacing="0" w:line="600" w:lineRule="exact"/>
        <w:ind w:firstLine="643" w:firstLineChars="20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（二）对其他情况说明</w:t>
      </w:r>
    </w:p>
    <w:p w14:paraId="27457394">
      <w:pPr>
        <w:pStyle w:val="4"/>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无其他需要说明的情况。</w:t>
      </w:r>
    </w:p>
    <w:p w14:paraId="30206AAF">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p w14:paraId="0C869387">
      <w:pPr>
        <w:spacing w:line="600" w:lineRule="exact"/>
        <w:ind w:firstLine="640" w:firstLineChars="200"/>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机关运行</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位运行使用一般公共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款安排的基本支出中的日</w:t>
      </w:r>
      <w:r>
        <w:rPr>
          <w:rFonts w:hint="eastAsia" w:ascii="仿宋_GB2312" w:hAnsi="Times New Roman" w:eastAsia="仿宋_GB2312" w:cs=".PingFang-SC-Light"/>
          <w:kern w:val="0"/>
          <w:sz w:val="32"/>
          <w:szCs w:val="32"/>
        </w:rPr>
        <w:t>常公用</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支出。包括</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公及印刷</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邮电费</w:t>
      </w:r>
      <w:r>
        <w:rPr>
          <w:rFonts w:hint="eastAsia" w:ascii="仿宋_GB2312" w:hAnsi="MS Mincho" w:eastAsia="仿宋_GB2312" w:cs="MS Mincho"/>
          <w:kern w:val="0"/>
          <w:sz w:val="32"/>
          <w:szCs w:val="32"/>
        </w:rPr>
        <w:t>、差旅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、会</w:t>
      </w:r>
      <w:r>
        <w:rPr>
          <w:rFonts w:hint="eastAsia" w:ascii="仿宋_GB2312" w:hAnsi="宋体" w:eastAsia="仿宋_GB2312" w:cs="宋体"/>
          <w:kern w:val="0"/>
          <w:sz w:val="32"/>
          <w:szCs w:val="32"/>
        </w:rPr>
        <w:t>议费</w:t>
      </w:r>
      <w:r>
        <w:rPr>
          <w:rFonts w:hint="eastAsia" w:ascii="仿宋_GB2312" w:hAnsi="MS Mincho" w:eastAsia="仿宋_GB2312" w:cs="MS Mincho"/>
          <w:kern w:val="0"/>
          <w:sz w:val="32"/>
          <w:szCs w:val="32"/>
        </w:rPr>
        <w:t>、福利</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、日常</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专</w:t>
      </w:r>
      <w:r>
        <w:rPr>
          <w:rFonts w:hint="eastAsia" w:ascii="仿宋_GB2312" w:hAnsi="Times New Roman" w:eastAsia="仿宋_GB2312" w:cs=".PingFang-SC-Light"/>
          <w:kern w:val="0"/>
          <w:sz w:val="32"/>
          <w:szCs w:val="32"/>
        </w:rPr>
        <w:t>用材料及一般</w:t>
      </w:r>
      <w:r>
        <w:rPr>
          <w:rFonts w:hint="eastAsia" w:ascii="仿宋_GB2312" w:hAnsi="宋体" w:eastAsia="仿宋_GB2312" w:cs="宋体"/>
          <w:kern w:val="0"/>
          <w:sz w:val="32"/>
          <w:szCs w:val="32"/>
        </w:rPr>
        <w:t>设备购</w:t>
      </w:r>
      <w:r>
        <w:rPr>
          <w:rFonts w:hint="eastAsia" w:ascii="仿宋_GB2312" w:hAnsi="MS Mincho" w:eastAsia="仿宋_GB2312" w:cs="MS Mincho"/>
          <w:kern w:val="0"/>
          <w:sz w:val="32"/>
          <w:szCs w:val="32"/>
        </w:rPr>
        <w:t>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公用房水</w:t>
      </w:r>
      <w:r>
        <w:rPr>
          <w:rFonts w:hint="eastAsia" w:ascii="仿宋_GB2312" w:hAnsi="宋体" w:eastAsia="仿宋_GB2312" w:cs="宋体"/>
          <w:kern w:val="0"/>
          <w:sz w:val="32"/>
          <w:szCs w:val="32"/>
        </w:rPr>
        <w:t>电费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公用房取暖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公用房物</w:t>
      </w:r>
      <w:r>
        <w:rPr>
          <w:rFonts w:hint="eastAsia" w:ascii="仿宋_GB2312" w:hAnsi="宋体" w:eastAsia="仿宋_GB2312" w:cs="宋体"/>
          <w:kern w:val="0"/>
          <w:sz w:val="32"/>
          <w:szCs w:val="32"/>
        </w:rPr>
        <w:t>业</w:t>
      </w:r>
      <w:r>
        <w:rPr>
          <w:rFonts w:hint="eastAsia" w:ascii="仿宋_GB2312" w:hAnsi="MS Mincho" w:eastAsia="仿宋_GB2312" w:cs="MS Mincho"/>
          <w:kern w:val="0"/>
          <w:sz w:val="32"/>
          <w:szCs w:val="32"/>
        </w:rPr>
        <w:t>管理</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Times New Roman" w:eastAsia="仿宋_GB2312" w:cs=".PingFang-SC-Light"/>
          <w:kern w:val="0"/>
          <w:sz w:val="32"/>
          <w:szCs w:val="32"/>
        </w:rPr>
        <w:t>用</w:t>
      </w:r>
      <w:r>
        <w:rPr>
          <w:rFonts w:hint="eastAsia" w:ascii="仿宋_GB2312" w:hAnsi="宋体" w:eastAsia="仿宋_GB2312" w:cs="宋体"/>
          <w:kern w:val="0"/>
          <w:sz w:val="32"/>
          <w:szCs w:val="32"/>
        </w:rPr>
        <w:t>车</w:t>
      </w:r>
      <w:r>
        <w:rPr>
          <w:rFonts w:hint="eastAsia" w:ascii="仿宋_GB2312" w:hAnsi="MS Mincho" w:eastAsia="仿宋_GB2312" w:cs="MS Mincho"/>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以及其他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14:paraId="0820F689">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“三公”</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w:t>
      </w:r>
      <w:r>
        <w:rPr>
          <w:rFonts w:hint="eastAsia" w:ascii="仿宋_GB2312" w:hAnsi="Times New Roman" w:eastAsia="仿宋_GB2312" w:cs=".PingFang-SC-Light"/>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和公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。其中，因公出国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的国</w:t>
      </w:r>
      <w:r>
        <w:rPr>
          <w:rFonts w:hint="eastAsia" w:ascii="仿宋_GB2312" w:hAnsi="宋体" w:eastAsia="仿宋_GB2312" w:cs="宋体"/>
          <w:kern w:val="0"/>
          <w:sz w:val="32"/>
          <w:szCs w:val="32"/>
        </w:rPr>
        <w:t>际</w:t>
      </w:r>
      <w:r>
        <w:rPr>
          <w:rFonts w:hint="eastAsia" w:ascii="仿宋_GB2312" w:hAnsi="MS Mincho" w:eastAsia="仿宋_GB2312" w:cs="MS Mincho"/>
          <w:kern w:val="0"/>
          <w:sz w:val="32"/>
          <w:szCs w:val="32"/>
        </w:rPr>
        <w:t>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、国</w:t>
      </w:r>
      <w:r>
        <w:rPr>
          <w:rFonts w:hint="eastAsia" w:ascii="仿宋_GB2312" w:hAnsi="Times New Roman" w:eastAsia="仿宋_GB2312" w:cs=".PingFang-SC-Light"/>
          <w:kern w:val="0"/>
          <w:sz w:val="32"/>
          <w:szCs w:val="32"/>
        </w:rPr>
        <w:t>外城市</w:t>
      </w:r>
      <w:r>
        <w:rPr>
          <w:rFonts w:hint="eastAsia" w:ascii="仿宋_GB2312" w:hAnsi="宋体" w:eastAsia="仿宋_GB2312" w:cs="宋体"/>
          <w:kern w:val="0"/>
          <w:sz w:val="32"/>
          <w:szCs w:val="32"/>
        </w:rPr>
        <w:t>间</w:t>
      </w:r>
      <w:r>
        <w:rPr>
          <w:rFonts w:hint="eastAsia" w:ascii="仿宋_GB2312" w:hAnsi="MS Mincho" w:eastAsia="仿宋_GB2312" w:cs="MS Mincho"/>
          <w:kern w:val="0"/>
          <w:sz w:val="32"/>
          <w:szCs w:val="32"/>
        </w:rPr>
        <w:t>交通</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、住宿</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、伙食</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、培</w:t>
      </w:r>
      <w:r>
        <w:rPr>
          <w:rFonts w:hint="eastAsia" w:ascii="仿宋_GB2312" w:hAnsi="宋体" w:eastAsia="仿宋_GB2312" w:cs="宋体"/>
          <w:kern w:val="0"/>
          <w:sz w:val="32"/>
          <w:szCs w:val="32"/>
        </w:rPr>
        <w:t>训费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杂费</w:t>
      </w:r>
      <w:r>
        <w:rPr>
          <w:rFonts w:hint="eastAsia" w:ascii="仿宋_GB2312" w:hAnsi="MS Mincho" w:eastAsia="仿宋_GB2312" w:cs="MS Mincho"/>
          <w:kern w:val="0"/>
          <w:sz w:val="32"/>
          <w:szCs w:val="32"/>
        </w:rPr>
        <w:t>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反</w:t>
      </w:r>
      <w:r>
        <w:rPr>
          <w:rFonts w:hint="eastAsia" w:ascii="仿宋_GB2312" w:hAnsi="Times New Roman" w:eastAsia="仿宋_GB2312" w:cs=".PingFang-SC-Light"/>
          <w:kern w:val="0"/>
          <w:sz w:val="32"/>
          <w:szCs w:val="32"/>
        </w:rPr>
        <w:t>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车车辆购</w:t>
      </w:r>
      <w:r>
        <w:rPr>
          <w:rFonts w:hint="eastAsia" w:ascii="仿宋_GB2312" w:hAnsi="MS Mincho" w:eastAsia="仿宋_GB2312" w:cs="MS Mincho"/>
          <w:kern w:val="0"/>
          <w:sz w:val="32"/>
          <w:szCs w:val="32"/>
        </w:rPr>
        <w:t>置支出</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w:t>
      </w:r>
      <w:r>
        <w:rPr>
          <w:rFonts w:hint="eastAsia" w:ascii="仿宋_GB2312" w:hAnsi="宋体" w:eastAsia="仿宋_GB2312" w:cs="宋体"/>
          <w:kern w:val="0"/>
          <w:sz w:val="32"/>
          <w:szCs w:val="32"/>
        </w:rPr>
        <w:t>车辆购</w:t>
      </w:r>
      <w:r>
        <w:rPr>
          <w:rFonts w:hint="eastAsia" w:ascii="仿宋_GB2312" w:hAnsi="MS Mincho" w:eastAsia="仿宋_GB2312" w:cs="MS Mincho"/>
          <w:kern w:val="0"/>
          <w:sz w:val="32"/>
          <w:szCs w:val="32"/>
        </w:rPr>
        <w:t>置税、牌照</w:t>
      </w:r>
      <w:r>
        <w:rPr>
          <w:rFonts w:hint="eastAsia" w:ascii="仿宋_GB2312" w:hAnsi="宋体" w:eastAsia="仿宋_GB2312" w:cs="宋体"/>
          <w:kern w:val="0"/>
          <w:sz w:val="32"/>
          <w:szCs w:val="32"/>
        </w:rPr>
        <w:t>费</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、燃料</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过桥过</w:t>
      </w:r>
      <w:r>
        <w:rPr>
          <w:rFonts w:hint="eastAsia" w:ascii="仿宋_GB2312" w:hAnsi="MS Mincho" w:eastAsia="仿宋_GB2312" w:cs="MS Mincho"/>
          <w:kern w:val="0"/>
          <w:sz w:val="32"/>
          <w:szCs w:val="32"/>
        </w:rPr>
        <w:t>路</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、保</w:t>
      </w:r>
      <w:r>
        <w:rPr>
          <w:rFonts w:hint="eastAsia" w:ascii="仿宋_GB2312" w:hAnsi="宋体" w:eastAsia="仿宋_GB2312" w:cs="宋体"/>
          <w:kern w:val="0"/>
          <w:sz w:val="32"/>
          <w:szCs w:val="32"/>
        </w:rPr>
        <w:t>险费</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奖</w:t>
      </w:r>
      <w:r>
        <w:rPr>
          <w:rFonts w:hint="eastAsia" w:ascii="仿宋_GB2312" w:hAnsi="MS Mincho" w:eastAsia="仿宋_GB2312" w:cs="MS Mincho"/>
          <w:kern w:val="0"/>
          <w:sz w:val="32"/>
          <w:szCs w:val="32"/>
        </w:rPr>
        <w:t>励</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位按</w:t>
      </w:r>
      <w:r>
        <w:rPr>
          <w:rFonts w:hint="eastAsia" w:ascii="仿宋_GB2312" w:hAnsi="宋体" w:eastAsia="仿宋_GB2312" w:cs="宋体"/>
          <w:kern w:val="0"/>
          <w:sz w:val="32"/>
          <w:szCs w:val="32"/>
        </w:rPr>
        <w:t>规</w:t>
      </w:r>
      <w:r>
        <w:rPr>
          <w:rFonts w:hint="eastAsia" w:ascii="仿宋_GB2312" w:hAnsi="MS Mincho" w:eastAsia="仿宋_GB2312" w:cs="MS Mincho"/>
          <w:kern w:val="0"/>
          <w:sz w:val="32"/>
          <w:szCs w:val="32"/>
        </w:rPr>
        <w:t>定开支的</w:t>
      </w:r>
      <w:r>
        <w:rPr>
          <w:rFonts w:hint="eastAsia" w:ascii="仿宋_GB2312" w:hAnsi="Times New Roman" w:eastAsia="仿宋_GB2312" w:cs=".PingFang-SC-Light"/>
          <w:kern w:val="0"/>
          <w:sz w:val="32"/>
          <w:szCs w:val="32"/>
        </w:rPr>
        <w:t>各</w:t>
      </w:r>
      <w:r>
        <w:rPr>
          <w:rFonts w:hint="eastAsia" w:ascii="仿宋_GB2312" w:hAnsi="宋体" w:eastAsia="仿宋_GB2312" w:cs="宋体"/>
          <w:kern w:val="0"/>
          <w:sz w:val="32"/>
          <w:szCs w:val="32"/>
        </w:rPr>
        <w:t>类</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含外</w:t>
      </w:r>
      <w:r>
        <w:rPr>
          <w:rFonts w:hint="eastAsia" w:ascii="仿宋_GB2312" w:hAnsi="宋体" w:eastAsia="仿宋_GB2312" w:cs="宋体"/>
          <w:kern w:val="0"/>
          <w:sz w:val="32"/>
          <w:szCs w:val="32"/>
        </w:rPr>
        <w:t>宾</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 xml:space="preserve">) </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14:paraId="2BF730A2">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：是指各</w:t>
      </w:r>
      <w:r>
        <w:rPr>
          <w:rFonts w:hint="eastAsia" w:ascii="仿宋_GB2312" w:hAnsi="宋体" w:eastAsia="仿宋_GB2312" w:cs="宋体"/>
          <w:kern w:val="0"/>
          <w:sz w:val="32"/>
          <w:szCs w:val="32"/>
        </w:rPr>
        <w:t>级</w:t>
      </w:r>
      <w:r>
        <w:rPr>
          <w:rFonts w:hint="eastAsia" w:ascii="仿宋_GB2312" w:hAnsi="MS Mincho" w:eastAsia="仿宋_GB2312" w:cs="MS Mincho"/>
          <w:kern w:val="0"/>
          <w:sz w:val="32"/>
          <w:szCs w:val="32"/>
        </w:rPr>
        <w:t>国家机关、事</w:t>
      </w:r>
      <w:r>
        <w:rPr>
          <w:rFonts w:hint="eastAsia" w:ascii="仿宋_GB2312" w:hAnsi="宋体" w:eastAsia="仿宋_GB2312" w:cs="宋体"/>
          <w:kern w:val="0"/>
          <w:sz w:val="32"/>
          <w:szCs w:val="32"/>
        </w:rPr>
        <w:t>业单</w:t>
      </w:r>
      <w:r>
        <w:rPr>
          <w:rFonts w:hint="eastAsia" w:ascii="仿宋_GB2312" w:hAnsi="MS Mincho" w:eastAsia="仿宋_GB2312" w:cs="MS Mincho"/>
          <w:kern w:val="0"/>
          <w:sz w:val="32"/>
          <w:szCs w:val="32"/>
        </w:rPr>
        <w:t>位和</w:t>
      </w:r>
      <w:r>
        <w:rPr>
          <w:rFonts w:hint="eastAsia" w:ascii="仿宋_GB2312" w:hAnsi="宋体" w:eastAsia="仿宋_GB2312" w:cs="宋体"/>
          <w:kern w:val="0"/>
          <w:sz w:val="32"/>
          <w:szCs w:val="32"/>
        </w:rPr>
        <w:t>团</w:t>
      </w:r>
      <w:r>
        <w:rPr>
          <w:rFonts w:hint="eastAsia" w:ascii="仿宋_GB2312" w:hAnsi="MS Mincho" w:eastAsia="仿宋_GB2312" w:cs="MS Mincho"/>
          <w:kern w:val="0"/>
          <w:sz w:val="32"/>
          <w:szCs w:val="32"/>
        </w:rPr>
        <w:t>体</w:t>
      </w:r>
      <w:r>
        <w:rPr>
          <w:rFonts w:hint="eastAsia" w:ascii="仿宋_GB2312" w:hAnsi="宋体" w:eastAsia="仿宋_GB2312" w:cs="宋体"/>
          <w:kern w:val="0"/>
          <w:sz w:val="32"/>
          <w:szCs w:val="32"/>
        </w:rPr>
        <w:t>组织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政性</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依法制定</w:t>
      </w:r>
      <w:r>
        <w:rPr>
          <w:rFonts w:hint="eastAsia" w:ascii="仿宋_GB2312" w:hAnsi="Times New Roman" w:eastAsia="仿宋_GB2312" w:cs=".PingFang-SC-Light"/>
          <w:kern w:val="0"/>
          <w:sz w:val="32"/>
          <w:szCs w:val="32"/>
        </w:rPr>
        <w:t>的集中采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目</w:t>
      </w:r>
      <w:r>
        <w:rPr>
          <w:rFonts w:hint="eastAsia" w:ascii="仿宋_GB2312" w:hAnsi="宋体" w:eastAsia="仿宋_GB2312" w:cs="宋体"/>
          <w:kern w:val="0"/>
          <w:sz w:val="32"/>
          <w:szCs w:val="32"/>
        </w:rPr>
        <w:t>录</w:t>
      </w:r>
      <w:r>
        <w:rPr>
          <w:rFonts w:hint="eastAsia" w:ascii="仿宋_GB2312" w:hAnsi="MS Mincho" w:eastAsia="仿宋_GB2312" w:cs="MS Mincho"/>
          <w:kern w:val="0"/>
          <w:sz w:val="32"/>
          <w:szCs w:val="32"/>
        </w:rPr>
        <w:t>以内的或者采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限</w:t>
      </w:r>
      <w:r>
        <w:rPr>
          <w:rFonts w:hint="eastAsia" w:ascii="仿宋_GB2312" w:hAnsi="宋体" w:eastAsia="仿宋_GB2312" w:cs="宋体"/>
          <w:kern w:val="0"/>
          <w:sz w:val="32"/>
          <w:szCs w:val="32"/>
        </w:rPr>
        <w:t>额标</w:t>
      </w:r>
      <w:r>
        <w:rPr>
          <w:rFonts w:hint="eastAsia" w:ascii="仿宋_GB2312" w:hAnsi="MS Mincho" w:eastAsia="仿宋_GB2312" w:cs="MS Mincho"/>
          <w:kern w:val="0"/>
          <w:sz w:val="32"/>
          <w:szCs w:val="32"/>
        </w:rPr>
        <w:t>准以上的</w:t>
      </w:r>
      <w:r>
        <w:rPr>
          <w:rFonts w:hint="eastAsia" w:ascii="仿宋_GB2312" w:hAnsi="宋体" w:eastAsia="仿宋_GB2312" w:cs="宋体"/>
          <w:kern w:val="0"/>
          <w:sz w:val="32"/>
          <w:szCs w:val="32"/>
        </w:rPr>
        <w:t>货</w:t>
      </w:r>
      <w:r>
        <w:rPr>
          <w:rFonts w:hint="eastAsia" w:ascii="仿宋_GB2312" w:hAnsi="MS Mincho" w:eastAsia="仿宋_GB2312" w:cs="MS Mincho"/>
          <w:kern w:val="0"/>
          <w:sz w:val="32"/>
          <w:szCs w:val="32"/>
        </w:rPr>
        <w:t>物、工程和服</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的行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不</w:t>
      </w:r>
      <w:r>
        <w:rPr>
          <w:rFonts w:hint="eastAsia" w:ascii="仿宋_GB2312" w:hAnsi="宋体" w:eastAsia="仿宋_GB2312" w:cs="宋体"/>
          <w:kern w:val="0"/>
          <w:sz w:val="32"/>
          <w:szCs w:val="32"/>
        </w:rPr>
        <w:t>仅</w:t>
      </w:r>
      <w:r>
        <w:rPr>
          <w:rFonts w:hint="eastAsia" w:ascii="仿宋_GB2312" w:hAnsi="MS Mincho" w:eastAsia="仿宋_GB2312" w:cs="MS Mincho"/>
          <w:kern w:val="0"/>
          <w:sz w:val="32"/>
          <w:szCs w:val="32"/>
        </w:rPr>
        <w:t>是</w:t>
      </w:r>
      <w:r>
        <w:rPr>
          <w:rFonts w:hint="eastAsia" w:ascii="仿宋_GB2312" w:hAnsi="Times New Roman" w:eastAsia="仿宋_GB2312" w:cs=".PingFang-SC-Light"/>
          <w:kern w:val="0"/>
          <w:sz w:val="32"/>
          <w:szCs w:val="32"/>
        </w:rPr>
        <w:t>指具体的采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程，而且是采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政策、采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程序、采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程及采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w:t>
      </w:r>
      <w:r>
        <w:rPr>
          <w:rFonts w:hint="eastAsia" w:ascii="仿宋_GB2312" w:hAnsi="宋体" w:eastAsia="仿宋_GB2312" w:cs="宋体"/>
          <w:kern w:val="0"/>
          <w:sz w:val="32"/>
          <w:szCs w:val="32"/>
        </w:rPr>
        <w:t>总</w:t>
      </w:r>
      <w:r>
        <w:rPr>
          <w:rFonts w:hint="eastAsia" w:ascii="仿宋_GB2312" w:hAnsi="MS Mincho" w:eastAsia="仿宋_GB2312" w:cs="MS Mincho"/>
          <w:kern w:val="0"/>
          <w:sz w:val="32"/>
          <w:szCs w:val="32"/>
        </w:rPr>
        <w:t>称，是一种</w:t>
      </w: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公</w:t>
      </w:r>
      <w:r>
        <w:rPr>
          <w:rFonts w:hint="eastAsia" w:ascii="仿宋_GB2312" w:hAnsi="Times New Roman" w:eastAsia="仿宋_GB2312" w:cs=".PingFang-SC-Light"/>
          <w:kern w:val="0"/>
          <w:sz w:val="32"/>
          <w:szCs w:val="32"/>
        </w:rPr>
        <w:t>共采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管理的制度，是一种政府行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w:t>
      </w:r>
    </w:p>
    <w:p w14:paraId="53BAC6B9">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4.</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补</w:t>
      </w:r>
      <w:r>
        <w:rPr>
          <w:rFonts w:hint="eastAsia" w:ascii="仿宋_GB2312" w:hAnsi="MS Mincho" w:eastAsia="仿宋_GB2312" w:cs="MS Mincho"/>
          <w:kern w:val="0"/>
          <w:sz w:val="32"/>
          <w:szCs w:val="32"/>
        </w:rPr>
        <w:t>助</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收入：指从同</w:t>
      </w:r>
      <w:r>
        <w:rPr>
          <w:rFonts w:hint="eastAsia" w:ascii="仿宋_GB2312" w:hAnsi="宋体" w:eastAsia="仿宋_GB2312" w:cs="宋体"/>
          <w:kern w:val="0"/>
          <w:sz w:val="32"/>
          <w:szCs w:val="32"/>
        </w:rPr>
        <w:t>级财</w:t>
      </w:r>
      <w:r>
        <w:rPr>
          <w:rFonts w:hint="eastAsia" w:ascii="仿宋_GB2312" w:hAnsi="MS Mincho" w:eastAsia="仿宋_GB2312" w:cs="MS Mincho"/>
          <w:kern w:val="0"/>
          <w:sz w:val="32"/>
          <w:szCs w:val="32"/>
        </w:rPr>
        <w:t>政部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取得的</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14:paraId="014DD64E">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5.</w:t>
      </w:r>
      <w:r>
        <w:rPr>
          <w:rFonts w:hint="eastAsia" w:ascii="仿宋_GB2312" w:hAnsi="Times New Roman" w:eastAsia="仿宋_GB2312" w:cs=".PingFang-SC-Light"/>
          <w:kern w:val="0"/>
          <w:sz w:val="32"/>
          <w:szCs w:val="32"/>
        </w:rPr>
        <w:t>其他收入：指除上述“</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款收入”以外任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相</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安排的</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14:paraId="392BA7A0">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6.</w:t>
      </w:r>
      <w:r>
        <w:rPr>
          <w:rFonts w:hint="eastAsia" w:ascii="仿宋_GB2312" w:hAnsi="Times New Roman" w:eastAsia="仿宋_GB2312" w:cs=".PingFang-SC-Light"/>
          <w:kern w:val="0"/>
          <w:sz w:val="32"/>
          <w:szCs w:val="32"/>
        </w:rPr>
        <w:t>基本支出：指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保障机构正常运</w:t>
      </w:r>
      <w:r>
        <w:rPr>
          <w:rFonts w:hint="eastAsia" w:ascii="仿宋_GB2312" w:hAnsi="宋体" w:eastAsia="仿宋_GB2312" w:cs="宋体"/>
          <w:kern w:val="0"/>
          <w:sz w:val="32"/>
          <w:szCs w:val="32"/>
        </w:rPr>
        <w:t>转</w:t>
      </w:r>
      <w:r>
        <w:rPr>
          <w:rFonts w:hint="eastAsia" w:ascii="仿宋_GB2312" w:hAnsi="MS Mincho" w:eastAsia="仿宋_GB2312" w:cs="MS Mincho"/>
          <w:kern w:val="0"/>
          <w:sz w:val="32"/>
          <w:szCs w:val="32"/>
        </w:rPr>
        <w:t>、完成日常工作任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而</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生的人</w:t>
      </w:r>
      <w:r>
        <w:rPr>
          <w:rFonts w:hint="eastAsia" w:ascii="仿宋_GB2312" w:hAnsi="宋体" w:eastAsia="仿宋_GB2312" w:cs="宋体"/>
          <w:kern w:val="0"/>
          <w:sz w:val="32"/>
          <w:szCs w:val="32"/>
        </w:rPr>
        <w:t>员</w:t>
      </w:r>
      <w:r>
        <w:rPr>
          <w:rFonts w:hint="eastAsia" w:ascii="仿宋_GB2312" w:hAnsi="MS Mincho" w:eastAsia="仿宋_GB2312" w:cs="MS Mincho"/>
          <w:kern w:val="0"/>
          <w:sz w:val="32"/>
          <w:szCs w:val="32"/>
        </w:rPr>
        <w:t>支出</w:t>
      </w:r>
      <w:r>
        <w:rPr>
          <w:rFonts w:hint="eastAsia" w:ascii="仿宋_GB2312" w:hAnsi="Times New Roman" w:eastAsia="仿宋_GB2312" w:cs=".PingFang-SC-Light"/>
          <w:kern w:val="0"/>
          <w:sz w:val="32"/>
          <w:szCs w:val="32"/>
        </w:rPr>
        <w:t>和公用支出。</w:t>
      </w:r>
    </w:p>
    <w:p w14:paraId="6A4805A6">
      <w:pPr>
        <w:spacing w:line="600" w:lineRule="exact"/>
        <w:ind w:firstLine="640" w:firstLineChars="200"/>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7.</w:t>
      </w:r>
      <w:r>
        <w:rPr>
          <w:rFonts w:hint="eastAsia" w:ascii="仿宋_GB2312" w:hAnsi="宋体" w:eastAsia="仿宋_GB2312" w:cs="宋体"/>
          <w:kern w:val="0"/>
          <w:sz w:val="32"/>
          <w:szCs w:val="32"/>
        </w:rPr>
        <w:t>项</w:t>
      </w:r>
      <w:r>
        <w:rPr>
          <w:rFonts w:hint="eastAsia" w:ascii="仿宋_GB2312" w:hAnsi="MS Mincho" w:eastAsia="仿宋_GB2312" w:cs="MS Mincho"/>
          <w:kern w:val="0"/>
          <w:sz w:val="32"/>
          <w:szCs w:val="32"/>
        </w:rPr>
        <w:t>目支出：指在基本支出之外</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完成特定行政任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和事</w:t>
      </w:r>
      <w:r>
        <w:rPr>
          <w:rFonts w:hint="eastAsia" w:ascii="仿宋_GB2312" w:hAnsi="宋体" w:eastAsia="仿宋_GB2312" w:cs="宋体"/>
          <w:kern w:val="0"/>
          <w:sz w:val="32"/>
          <w:szCs w:val="32"/>
        </w:rPr>
        <w:t>业发</w:t>
      </w:r>
      <w:r>
        <w:rPr>
          <w:rFonts w:hint="eastAsia" w:ascii="仿宋_GB2312" w:hAnsi="MS Mincho" w:eastAsia="仿宋_GB2312" w:cs="MS Mincho"/>
          <w:kern w:val="0"/>
          <w:sz w:val="32"/>
          <w:szCs w:val="32"/>
        </w:rPr>
        <w:t>展目</w:t>
      </w:r>
      <w:r>
        <w:rPr>
          <w:rFonts w:hint="eastAsia" w:ascii="仿宋_GB2312" w:hAnsi="宋体" w:eastAsia="仿宋_GB2312" w:cs="宋体"/>
          <w:kern w:val="0"/>
          <w:sz w:val="32"/>
          <w:szCs w:val="32"/>
        </w:rPr>
        <w:t>标</w:t>
      </w:r>
      <w:r>
        <w:rPr>
          <w:rFonts w:hint="eastAsia" w:ascii="仿宋_GB2312" w:hAnsi="MS Mincho" w:eastAsia="仿宋_GB2312" w:cs="MS Mincho"/>
          <w:kern w:val="0"/>
          <w:sz w:val="32"/>
          <w:szCs w:val="32"/>
        </w:rPr>
        <w:t>所</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生的支</w:t>
      </w:r>
      <w:r>
        <w:rPr>
          <w:rFonts w:hint="eastAsia" w:ascii="仿宋_GB2312" w:hAnsi="Times New Roman" w:eastAsia="仿宋_GB2312" w:cs=".PingFang-SC-Light"/>
          <w:kern w:val="0"/>
          <w:sz w:val="32"/>
          <w:szCs w:val="32"/>
        </w:rPr>
        <w:t>出。</w:t>
      </w:r>
    </w:p>
    <w:p w14:paraId="24E25F5E">
      <w:pPr>
        <w:spacing w:line="560" w:lineRule="exact"/>
        <w:ind w:firstLine="640" w:firstLineChars="200"/>
        <w:jc w:val="right"/>
        <w:rPr>
          <w:rFonts w:ascii="仿宋_GB2312" w:hAnsi="Times New Roman" w:eastAsia="仿宋_GB2312" w:cs=".PingFang-SC-Light"/>
          <w:kern w:val="0"/>
          <w:sz w:val="32"/>
          <w:szCs w:val="32"/>
        </w:rPr>
      </w:pPr>
    </w:p>
    <w:p w14:paraId="1BDB6114">
      <w:pPr>
        <w:spacing w:line="560" w:lineRule="exact"/>
        <w:ind w:firstLine="640" w:firstLineChars="200"/>
        <w:jc w:val="right"/>
        <w:rPr>
          <w:rFonts w:ascii="仿宋_GB2312" w:hAnsi="Times New Roman" w:eastAsia="仿宋_GB2312" w:cs=".PingFang-SC-Light"/>
          <w:kern w:val="0"/>
          <w:sz w:val="32"/>
          <w:szCs w:val="32"/>
        </w:rPr>
      </w:pPr>
    </w:p>
    <w:p w14:paraId="57EE4B5A">
      <w:pPr>
        <w:spacing w:line="560" w:lineRule="exact"/>
        <w:ind w:firstLine="640" w:firstLineChars="200"/>
        <w:jc w:val="right"/>
        <w:rPr>
          <w:rFonts w:ascii="仿宋_GB2312" w:hAnsi="Times New Roman" w:eastAsia="仿宋_GB2312" w:cs=".PingFang-SC-Light"/>
          <w:kern w:val="0"/>
          <w:sz w:val="32"/>
          <w:szCs w:val="32"/>
        </w:rPr>
      </w:pPr>
    </w:p>
    <w:p w14:paraId="211A220F">
      <w:pPr>
        <w:spacing w:line="560" w:lineRule="exact"/>
        <w:ind w:firstLine="640" w:firstLineChars="200"/>
        <w:jc w:val="left"/>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 xml:space="preserve">                           </w:t>
      </w:r>
    </w:p>
    <w:p w14:paraId="09CCB0C6">
      <w:pPr>
        <w:spacing w:line="560" w:lineRule="exact"/>
        <w:ind w:firstLine="640" w:firstLineChars="200"/>
        <w:jc w:val="center"/>
        <w:rPr>
          <w:rFonts w:ascii="仿宋_GB2312" w:hAnsi="Times New Roman" w:eastAsia="仿宋_GB2312" w:cs=".PingFang-SC-Light"/>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PingFang-SC-Ligh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851759"/>
      <w:docPartObj>
        <w:docPartGallery w:val="AutoText"/>
      </w:docPartObj>
    </w:sdtPr>
    <w:sdtContent>
      <w:p w14:paraId="2015A3AC">
        <w:pPr>
          <w:pStyle w:val="2"/>
          <w:jc w:val="center"/>
        </w:pPr>
        <w:r>
          <w:fldChar w:fldCharType="begin"/>
        </w:r>
        <w:r>
          <w:instrText xml:space="preserve">PAGE   \* MERGEFORMAT</w:instrText>
        </w:r>
        <w:r>
          <w:fldChar w:fldCharType="separate"/>
        </w:r>
        <w:r>
          <w:rPr>
            <w:lang w:val="zh-CN"/>
          </w:rPr>
          <w:t>2</w:t>
        </w:r>
        <w:r>
          <w:fldChar w:fldCharType="end"/>
        </w:r>
      </w:p>
    </w:sdtContent>
  </w:sdt>
  <w:p w14:paraId="778194C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6B89"/>
    <w:rsid w:val="00032DBA"/>
    <w:rsid w:val="00055BEB"/>
    <w:rsid w:val="00060D09"/>
    <w:rsid w:val="00070320"/>
    <w:rsid w:val="00072904"/>
    <w:rsid w:val="00077C8E"/>
    <w:rsid w:val="000A2793"/>
    <w:rsid w:val="00114122"/>
    <w:rsid w:val="0012200C"/>
    <w:rsid w:val="00136774"/>
    <w:rsid w:val="00157260"/>
    <w:rsid w:val="001720FA"/>
    <w:rsid w:val="001B0FB8"/>
    <w:rsid w:val="001C3EAF"/>
    <w:rsid w:val="001C4297"/>
    <w:rsid w:val="001E220E"/>
    <w:rsid w:val="001F4477"/>
    <w:rsid w:val="001F69F6"/>
    <w:rsid w:val="00214044"/>
    <w:rsid w:val="00226513"/>
    <w:rsid w:val="00252D4F"/>
    <w:rsid w:val="0027333B"/>
    <w:rsid w:val="00276B98"/>
    <w:rsid w:val="00283BAC"/>
    <w:rsid w:val="002858FE"/>
    <w:rsid w:val="002934B7"/>
    <w:rsid w:val="002B4495"/>
    <w:rsid w:val="002E6690"/>
    <w:rsid w:val="002F33FB"/>
    <w:rsid w:val="00305512"/>
    <w:rsid w:val="0031512E"/>
    <w:rsid w:val="00340C4A"/>
    <w:rsid w:val="003575D2"/>
    <w:rsid w:val="0037790F"/>
    <w:rsid w:val="00387B8F"/>
    <w:rsid w:val="003B0CED"/>
    <w:rsid w:val="003B4BB0"/>
    <w:rsid w:val="003B6693"/>
    <w:rsid w:val="003C7C23"/>
    <w:rsid w:val="003D24B2"/>
    <w:rsid w:val="003E6058"/>
    <w:rsid w:val="00416900"/>
    <w:rsid w:val="00417B23"/>
    <w:rsid w:val="00433851"/>
    <w:rsid w:val="004609D8"/>
    <w:rsid w:val="00471059"/>
    <w:rsid w:val="004744D9"/>
    <w:rsid w:val="00476253"/>
    <w:rsid w:val="00487CE2"/>
    <w:rsid w:val="0049628D"/>
    <w:rsid w:val="004B3BFE"/>
    <w:rsid w:val="004D513C"/>
    <w:rsid w:val="005143B5"/>
    <w:rsid w:val="005536F5"/>
    <w:rsid w:val="00557866"/>
    <w:rsid w:val="00557ECB"/>
    <w:rsid w:val="00561A2B"/>
    <w:rsid w:val="00581867"/>
    <w:rsid w:val="00592BC7"/>
    <w:rsid w:val="005A6D94"/>
    <w:rsid w:val="005C77B5"/>
    <w:rsid w:val="00643D49"/>
    <w:rsid w:val="00655896"/>
    <w:rsid w:val="006A775F"/>
    <w:rsid w:val="006C4D8B"/>
    <w:rsid w:val="006D2E4A"/>
    <w:rsid w:val="00704DA6"/>
    <w:rsid w:val="00725CCD"/>
    <w:rsid w:val="00735408"/>
    <w:rsid w:val="00797E97"/>
    <w:rsid w:val="007C16C8"/>
    <w:rsid w:val="007D6DC8"/>
    <w:rsid w:val="007E6A0B"/>
    <w:rsid w:val="00802F46"/>
    <w:rsid w:val="00805623"/>
    <w:rsid w:val="00816B94"/>
    <w:rsid w:val="00844FD5"/>
    <w:rsid w:val="00856EE7"/>
    <w:rsid w:val="00866577"/>
    <w:rsid w:val="00867E12"/>
    <w:rsid w:val="00880CE2"/>
    <w:rsid w:val="00897403"/>
    <w:rsid w:val="008C1786"/>
    <w:rsid w:val="008C7F33"/>
    <w:rsid w:val="008D21F6"/>
    <w:rsid w:val="00903824"/>
    <w:rsid w:val="00940F74"/>
    <w:rsid w:val="00952909"/>
    <w:rsid w:val="00954DD6"/>
    <w:rsid w:val="00970A97"/>
    <w:rsid w:val="009A25D8"/>
    <w:rsid w:val="009A5906"/>
    <w:rsid w:val="009C40BD"/>
    <w:rsid w:val="009E001E"/>
    <w:rsid w:val="009F6B89"/>
    <w:rsid w:val="00A000FA"/>
    <w:rsid w:val="00A05887"/>
    <w:rsid w:val="00A84002"/>
    <w:rsid w:val="00A92E63"/>
    <w:rsid w:val="00AA6A57"/>
    <w:rsid w:val="00AB0A21"/>
    <w:rsid w:val="00B22867"/>
    <w:rsid w:val="00B318C5"/>
    <w:rsid w:val="00B81C3C"/>
    <w:rsid w:val="00B94603"/>
    <w:rsid w:val="00B978AF"/>
    <w:rsid w:val="00BA2706"/>
    <w:rsid w:val="00BB7490"/>
    <w:rsid w:val="00BE161A"/>
    <w:rsid w:val="00BF58A6"/>
    <w:rsid w:val="00BF6C81"/>
    <w:rsid w:val="00BF7F5F"/>
    <w:rsid w:val="00C204DE"/>
    <w:rsid w:val="00C2503E"/>
    <w:rsid w:val="00C47C7A"/>
    <w:rsid w:val="00C5103B"/>
    <w:rsid w:val="00C66663"/>
    <w:rsid w:val="00C72346"/>
    <w:rsid w:val="00C917E3"/>
    <w:rsid w:val="00C92983"/>
    <w:rsid w:val="00CB41FB"/>
    <w:rsid w:val="00CC1AA6"/>
    <w:rsid w:val="00D140B1"/>
    <w:rsid w:val="00D23F0B"/>
    <w:rsid w:val="00D36EFE"/>
    <w:rsid w:val="00D51AFC"/>
    <w:rsid w:val="00D6496B"/>
    <w:rsid w:val="00D7087A"/>
    <w:rsid w:val="00DD500E"/>
    <w:rsid w:val="00E07C42"/>
    <w:rsid w:val="00E1141B"/>
    <w:rsid w:val="00E35828"/>
    <w:rsid w:val="00E35A44"/>
    <w:rsid w:val="00E77E29"/>
    <w:rsid w:val="00EA7322"/>
    <w:rsid w:val="00EC0835"/>
    <w:rsid w:val="00ED29B3"/>
    <w:rsid w:val="00EF6B62"/>
    <w:rsid w:val="00F03E88"/>
    <w:rsid w:val="00F044B5"/>
    <w:rsid w:val="00F14A9D"/>
    <w:rsid w:val="00F158AA"/>
    <w:rsid w:val="00F50CCE"/>
    <w:rsid w:val="00F60292"/>
    <w:rsid w:val="00FB1392"/>
    <w:rsid w:val="00FD0124"/>
    <w:rsid w:val="00FE04E2"/>
    <w:rsid w:val="00FE5EFE"/>
    <w:rsid w:val="00FE7046"/>
    <w:rsid w:val="00FE71D6"/>
    <w:rsid w:val="00FF2F65"/>
    <w:rsid w:val="630B42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纯文本1"/>
    <w:basedOn w:val="1"/>
    <w:qFormat/>
    <w:uiPriority w:val="99"/>
    <w:rPr>
      <w:rFonts w:ascii="宋体" w:hAnsi="Courier New" w:eastAsia="宋体" w:cs="Courier New"/>
    </w:rPr>
  </w:style>
  <w:style w:type="paragraph" w:customStyle="1" w:styleId="10">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2771</Words>
  <Characters>3050</Characters>
  <Lines>22</Lines>
  <Paragraphs>6</Paragraphs>
  <TotalTime>237</TotalTime>
  <ScaleCrop>false</ScaleCrop>
  <LinksUpToDate>false</LinksUpToDate>
  <CharactersWithSpaces>3080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2025-02-21T08:27:00Z</dcterms:created>
  <dc:creator>Lenovo</dc:creator>
  <cp:lastModifiedBy>王凡</cp:lastModifiedBy>
  <cp:lastPrinted>2024-03-11T01:30:00Z</cp:lastPrinted>
  <dcterms:modified xsi:type="dcterms:W3CDTF">2025-03-06T02:52:02Z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eyJoZGlkIjoiY2YxZDhkNGI1ZWMwN2Q1Njk1ZGM0ODc2YmM0YTk2N2EiLCJ1c2VySWQiOiIyODEwMzM2MjMifQ==</vt:lpwstr>
  </property>
  <property fmtid="{D5CDD505-2E9C-101B-9397-08002B2CF9AE}" pid="3" name="KSOProductBuildVer">
    <vt:lpwstr>2052-12.1.0.20305</vt:lpwstr>
  </property>
  <property fmtid="{D5CDD505-2E9C-101B-9397-08002B2CF9AE}" pid="4" name="ICV">
    <vt:lpwstr>71EAE8862CE349BDB4598A95E3BD9FBB_12</vt:lpwstr>
  </property>
</Properties>
</file>