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5F6" w:rsidRDefault="009725F6">
      <w:pPr>
        <w:spacing w:line="578" w:lineRule="exact"/>
        <w:rPr>
          <w:rFonts w:ascii="方正小标宋简体" w:eastAsia="方正小标宋简体" w:hAnsi="方正小标宋简体" w:cs="方正小标宋简体"/>
          <w:sz w:val="40"/>
          <w:szCs w:val="48"/>
        </w:rPr>
      </w:pPr>
    </w:p>
    <w:p w:rsidR="009725F6" w:rsidRDefault="009725F6">
      <w:pPr>
        <w:spacing w:line="578" w:lineRule="exact"/>
        <w:jc w:val="center"/>
        <w:rPr>
          <w:rFonts w:ascii="方正小标宋简体" w:eastAsia="方正小标宋简体" w:hAnsi="方正小标宋简体" w:cs="方正小标宋简体"/>
          <w:sz w:val="40"/>
          <w:szCs w:val="48"/>
        </w:rPr>
      </w:pPr>
    </w:p>
    <w:p w:rsidR="009725F6" w:rsidRDefault="001B32D3">
      <w:pPr>
        <w:spacing w:line="578" w:lineRule="exact"/>
        <w:jc w:val="center"/>
        <w:rPr>
          <w:rFonts w:ascii="方正小标宋简体" w:eastAsia="方正小标宋简体" w:hAnsi="方正小标宋简体" w:cs="方正小标宋简体"/>
          <w:sz w:val="40"/>
          <w:szCs w:val="48"/>
        </w:rPr>
      </w:pPr>
      <w:r>
        <w:rPr>
          <w:rFonts w:ascii="方正小标宋简体" w:eastAsia="方正小标宋简体" w:hAnsi="方正小标宋简体" w:cs="方正小标宋简体" w:hint="eastAsia"/>
          <w:sz w:val="40"/>
          <w:szCs w:val="48"/>
        </w:rPr>
        <w:t>关于落实鄂高法发〔2024〕1号、24号文件的责任分解方案</w:t>
      </w:r>
    </w:p>
    <w:p w:rsidR="009725F6" w:rsidRDefault="001B32D3">
      <w:pPr>
        <w:widowControl/>
        <w:spacing w:line="578" w:lineRule="exact"/>
        <w:ind w:firstLineChars="200" w:firstLine="640"/>
        <w:rPr>
          <w:rFonts w:ascii="仿宋" w:eastAsia="仿宋" w:hAnsi="仿宋" w:cs="仿宋"/>
          <w:sz w:val="32"/>
          <w:szCs w:val="40"/>
        </w:rPr>
      </w:pPr>
      <w:r>
        <w:rPr>
          <w:rFonts w:ascii="仿宋" w:eastAsia="仿宋" w:hAnsi="仿宋" w:cs="仿宋" w:hint="eastAsia"/>
          <w:sz w:val="32"/>
          <w:szCs w:val="40"/>
        </w:rPr>
        <w:t>为全面落实《湖北省高级人民法院关于充分发挥司法审判职能 深化法治化营商环境建设 服务中国式现代化湖北实践的十条措施》（鄂高法发〔2024〕1号）和《关于在全省法院开展“法治化营商环境建设升级行动”实施方案》（鄂高法〔</w:t>
      </w:r>
      <w:r>
        <w:rPr>
          <w:rFonts w:ascii="仿宋" w:eastAsia="仿宋" w:hAnsi="仿宋" w:cs="仿宋"/>
          <w:sz w:val="32"/>
          <w:szCs w:val="40"/>
        </w:rPr>
        <w:t>2024</w:t>
      </w:r>
      <w:r>
        <w:rPr>
          <w:rFonts w:ascii="仿宋" w:eastAsia="仿宋" w:hAnsi="仿宋" w:cs="仿宋" w:hint="eastAsia"/>
          <w:sz w:val="32"/>
          <w:szCs w:val="40"/>
        </w:rPr>
        <w:t>〕</w:t>
      </w:r>
      <w:r>
        <w:rPr>
          <w:rFonts w:ascii="仿宋" w:eastAsia="仿宋" w:hAnsi="仿宋" w:cs="仿宋"/>
          <w:sz w:val="32"/>
          <w:szCs w:val="40"/>
        </w:rPr>
        <w:t xml:space="preserve">24 </w:t>
      </w:r>
      <w:r>
        <w:rPr>
          <w:rFonts w:ascii="仿宋" w:eastAsia="仿宋" w:hAnsi="仿宋" w:cs="仿宋" w:hint="eastAsia"/>
          <w:sz w:val="32"/>
          <w:szCs w:val="40"/>
        </w:rPr>
        <w:t>号）要求，以高质量司法打造襄阳一流法治化营商环境，现结合工作实际，制定责任分解方案如下：</w:t>
      </w:r>
    </w:p>
    <w:p w:rsidR="009725F6" w:rsidRDefault="001B32D3">
      <w:pPr>
        <w:spacing w:line="578" w:lineRule="exact"/>
        <w:ind w:firstLineChars="200" w:firstLine="643"/>
        <w:rPr>
          <w:rFonts w:ascii="黑体" w:eastAsia="黑体" w:hAnsi="黑体" w:cs="黑体"/>
          <w:b/>
          <w:bCs/>
          <w:sz w:val="32"/>
          <w:szCs w:val="40"/>
        </w:rPr>
      </w:pPr>
      <w:r>
        <w:rPr>
          <w:rFonts w:ascii="黑体" w:eastAsia="黑体" w:hAnsi="黑体" w:cs="黑体" w:hint="eastAsia"/>
          <w:b/>
          <w:bCs/>
          <w:sz w:val="32"/>
          <w:szCs w:val="40"/>
        </w:rPr>
        <w:t>一、重点工作任务和举措</w:t>
      </w:r>
    </w:p>
    <w:p w:rsidR="009725F6" w:rsidRDefault="001B32D3">
      <w:pPr>
        <w:spacing w:line="578" w:lineRule="exact"/>
        <w:ind w:firstLineChars="200" w:firstLine="643"/>
        <w:rPr>
          <w:rFonts w:ascii="楷体" w:eastAsia="楷体" w:hAnsi="楷体" w:cs="楷体"/>
          <w:b/>
          <w:bCs/>
          <w:sz w:val="32"/>
          <w:szCs w:val="40"/>
        </w:rPr>
      </w:pPr>
      <w:r>
        <w:rPr>
          <w:rFonts w:ascii="楷体" w:eastAsia="楷体" w:hAnsi="楷体" w:cs="楷体" w:hint="eastAsia"/>
          <w:b/>
          <w:bCs/>
          <w:sz w:val="32"/>
          <w:szCs w:val="40"/>
        </w:rPr>
        <w:t>（一）做实评估制度，稳定市场主体法治预期</w:t>
      </w:r>
    </w:p>
    <w:p w:rsidR="009725F6" w:rsidRDefault="001B32D3">
      <w:pPr>
        <w:spacing w:line="578" w:lineRule="exact"/>
        <w:ind w:firstLineChars="200" w:firstLine="643"/>
        <w:rPr>
          <w:rFonts w:ascii="仿宋" w:eastAsia="仿宋" w:hAnsi="仿宋" w:cs="仿宋"/>
          <w:sz w:val="32"/>
          <w:szCs w:val="40"/>
        </w:rPr>
      </w:pPr>
      <w:r>
        <w:rPr>
          <w:rFonts w:ascii="仿宋" w:eastAsia="仿宋" w:hAnsi="仿宋" w:cs="仿宋" w:hint="eastAsia"/>
          <w:b/>
          <w:bCs/>
          <w:sz w:val="32"/>
          <w:szCs w:val="40"/>
        </w:rPr>
        <w:t>1.深化落实涉企案件经济影响评估制度。</w:t>
      </w:r>
      <w:r>
        <w:rPr>
          <w:rFonts w:ascii="仿宋" w:eastAsia="仿宋" w:hAnsi="仿宋" w:cs="仿宋" w:hint="eastAsia"/>
          <w:sz w:val="32"/>
          <w:szCs w:val="40"/>
        </w:rPr>
        <w:t>在立案、保全、审理、执行和司法公开等环节，根据当事人自评司法活动对企业可能存在的经济影响及司法需求，对涉案市场主体生产经营可能受到的影响进行实质性分级评估，并作出针对性防范和处置，将司法活动对市场主体生产经营可能造成的负面影响降至最低。</w:t>
      </w:r>
    </w:p>
    <w:p w:rsidR="009725F6" w:rsidRDefault="001B32D3">
      <w:pPr>
        <w:spacing w:line="578" w:lineRule="exact"/>
        <w:ind w:firstLineChars="200" w:firstLine="643"/>
        <w:rPr>
          <w:rFonts w:ascii="楷体" w:eastAsia="楷体" w:hAnsi="楷体" w:cs="楷体"/>
          <w:b/>
          <w:bCs/>
          <w:sz w:val="32"/>
          <w:szCs w:val="40"/>
        </w:rPr>
      </w:pPr>
      <w:r>
        <w:rPr>
          <w:rFonts w:ascii="楷体" w:eastAsia="楷体" w:hAnsi="楷体" w:cs="楷体" w:hint="eastAsia"/>
          <w:b/>
          <w:bCs/>
          <w:sz w:val="32"/>
          <w:szCs w:val="40"/>
        </w:rPr>
        <w:t>（二）畅通商事解纷便民通道，护航企业轻装前行</w:t>
      </w:r>
    </w:p>
    <w:p w:rsidR="009725F6" w:rsidRDefault="001B32D3">
      <w:pPr>
        <w:spacing w:line="578" w:lineRule="exact"/>
        <w:ind w:firstLineChars="200" w:firstLine="643"/>
        <w:rPr>
          <w:rFonts w:ascii="仿宋" w:eastAsia="仿宋" w:hAnsi="仿宋" w:cs="仿宋"/>
          <w:sz w:val="32"/>
          <w:szCs w:val="40"/>
        </w:rPr>
      </w:pPr>
      <w:r>
        <w:rPr>
          <w:rFonts w:ascii="仿宋" w:eastAsia="仿宋" w:hAnsi="仿宋" w:cs="仿宋" w:hint="eastAsia"/>
          <w:b/>
          <w:bCs/>
          <w:sz w:val="32"/>
          <w:szCs w:val="40"/>
        </w:rPr>
        <w:t>2.构建线上线下多元商事解纷渠道。</w:t>
      </w:r>
      <w:r>
        <w:rPr>
          <w:rFonts w:ascii="仿宋" w:eastAsia="仿宋" w:hAnsi="仿宋" w:cs="仿宋" w:hint="eastAsia"/>
          <w:sz w:val="32"/>
          <w:szCs w:val="40"/>
        </w:rPr>
        <w:t>与工商联、金融监管部门等单位建立“总对总”在线多元解纷平合，在自贸区、经济开发区、工业园区、商会等地建设集约化商事纠纷共享法庭，为企业提供多样化、个性化服务。在司法鉴定程序多发的民商事纠纷中，推行诉前鉴定与诉前调解街接机制，有效发挥制度融合优势，</w:t>
      </w:r>
      <w:r>
        <w:rPr>
          <w:rFonts w:ascii="仿宋" w:eastAsia="仿宋" w:hAnsi="仿宋" w:cs="仿宋" w:hint="eastAsia"/>
          <w:sz w:val="32"/>
          <w:szCs w:val="40"/>
        </w:rPr>
        <w:lastRenderedPageBreak/>
        <w:t>促进矛盾纠纷前端化解。</w:t>
      </w:r>
    </w:p>
    <w:p w:rsidR="009725F6" w:rsidRDefault="001B32D3">
      <w:pPr>
        <w:spacing w:line="578" w:lineRule="exact"/>
        <w:ind w:firstLineChars="200" w:firstLine="643"/>
        <w:rPr>
          <w:rFonts w:ascii="楷体" w:eastAsia="楷体" w:hAnsi="楷体" w:cs="楷体"/>
          <w:b/>
          <w:bCs/>
          <w:sz w:val="32"/>
          <w:szCs w:val="40"/>
        </w:rPr>
      </w:pPr>
      <w:r>
        <w:rPr>
          <w:rFonts w:ascii="楷体" w:eastAsia="楷体" w:hAnsi="楷体" w:cs="楷体" w:hint="eastAsia"/>
          <w:b/>
          <w:bCs/>
          <w:sz w:val="32"/>
          <w:szCs w:val="40"/>
        </w:rPr>
        <w:t>（三）压缩诉讼全链条运转周期，降低当事人诉讼成本</w:t>
      </w:r>
    </w:p>
    <w:p w:rsidR="009725F6" w:rsidRDefault="001B32D3">
      <w:pPr>
        <w:spacing w:line="578" w:lineRule="exact"/>
        <w:ind w:firstLineChars="200" w:firstLine="643"/>
        <w:rPr>
          <w:rFonts w:ascii="仿宋" w:eastAsia="仿宋" w:hAnsi="仿宋" w:cs="仿宋"/>
          <w:sz w:val="32"/>
          <w:szCs w:val="40"/>
        </w:rPr>
      </w:pPr>
      <w:r>
        <w:rPr>
          <w:rFonts w:ascii="仿宋" w:eastAsia="仿宋" w:hAnsi="仿宋" w:cs="仿宋" w:hint="eastAsia"/>
          <w:b/>
          <w:bCs/>
          <w:sz w:val="32"/>
          <w:szCs w:val="40"/>
        </w:rPr>
        <w:t>3.持续推进线上立案“一网通办”，线下立案“只跑一次”。</w:t>
      </w:r>
      <w:r>
        <w:rPr>
          <w:rFonts w:ascii="仿宋" w:eastAsia="仿宋" w:hAnsi="仿宋" w:cs="仿宋" w:hint="eastAsia"/>
          <w:sz w:val="32"/>
          <w:szCs w:val="40"/>
        </w:rPr>
        <w:t>完善线上立案流程，优化线下立案服务，健全涉企案件立案“绿色通道”。符合立案条件的，严格做到7个工作日内审核立案。畅通12368诉讼服务热线等投诉监督渠道，对于不立案投诉，做到“必督办、定回复”，确保有效投诉处理达到100%满意度。</w:t>
      </w:r>
    </w:p>
    <w:p w:rsidR="009725F6" w:rsidRDefault="001B32D3">
      <w:pPr>
        <w:spacing w:line="578" w:lineRule="exact"/>
        <w:ind w:firstLineChars="200" w:firstLine="643"/>
        <w:rPr>
          <w:rFonts w:ascii="仿宋" w:eastAsia="仿宋" w:hAnsi="仿宋" w:cs="仿宋"/>
          <w:sz w:val="32"/>
          <w:szCs w:val="40"/>
        </w:rPr>
      </w:pPr>
      <w:r>
        <w:rPr>
          <w:rFonts w:ascii="仿宋" w:eastAsia="仿宋" w:hAnsi="仿宋" w:cs="仿宋" w:hint="eastAsia"/>
          <w:b/>
          <w:bCs/>
          <w:sz w:val="32"/>
          <w:szCs w:val="40"/>
        </w:rPr>
        <w:t>4.加强审判效率管理。</w:t>
      </w:r>
      <w:r>
        <w:rPr>
          <w:rFonts w:ascii="仿宋" w:eastAsia="仿宋" w:hAnsi="仿宋" w:cs="仿宋" w:hint="eastAsia"/>
          <w:sz w:val="32"/>
          <w:szCs w:val="40"/>
        </w:rPr>
        <w:t>强化审限内结案，严格控制案件审限变更，依法快速审理简单案件，涉及鉴定评估的简单案件适用简易程序，一般在3个月内审结。逐步推进上诉案件电子卷宗网上移送，在无公告送达、涉外送达等特殊情况下，上诉案件自上诉答辩期满之日起移送二审法院一般不得超过5个工作日，上级法院自结案之日起向下级法院退卷一般不得超过7个工作日。对长期未结案件实行台账管理，纳入督办范围，一年以上长期未结案件占上年度新收案件数之比不高于万分之五。</w:t>
      </w:r>
    </w:p>
    <w:p w:rsidR="009725F6" w:rsidRDefault="001B32D3">
      <w:pPr>
        <w:spacing w:line="578" w:lineRule="exact"/>
        <w:ind w:firstLineChars="200" w:firstLine="643"/>
        <w:rPr>
          <w:rFonts w:ascii="仿宋" w:eastAsia="仿宋" w:hAnsi="仿宋" w:cs="仿宋"/>
          <w:sz w:val="32"/>
          <w:szCs w:val="40"/>
        </w:rPr>
      </w:pPr>
      <w:r>
        <w:rPr>
          <w:rFonts w:ascii="仿宋" w:eastAsia="仿宋" w:hAnsi="仿宋" w:cs="仿宋" w:hint="eastAsia"/>
          <w:b/>
          <w:bCs/>
          <w:sz w:val="32"/>
          <w:szCs w:val="40"/>
        </w:rPr>
        <w:t>5.严控司法鉴定时限。</w:t>
      </w:r>
      <w:r>
        <w:rPr>
          <w:rFonts w:ascii="仿宋" w:eastAsia="仿宋" w:hAnsi="仿宋" w:cs="仿宋" w:hint="eastAsia"/>
          <w:sz w:val="32"/>
          <w:szCs w:val="40"/>
        </w:rPr>
        <w:t>对司法鉴定实行全流程监管，将完成鉴定任务的平均耗时作为考核评价鉴定机构的重要标准。实行“黑名单”制度，对无正当理由严重超过鉴定时限的鉴定机构，剔除出鉴定机构名册，取消下次报名入围资格，必要时向相关行业行政主管部门、行业协会提出给予停业整顿等处罚建议。</w:t>
      </w:r>
    </w:p>
    <w:p w:rsidR="009725F6" w:rsidRDefault="001B32D3">
      <w:pPr>
        <w:spacing w:line="578" w:lineRule="exact"/>
        <w:ind w:firstLineChars="200" w:firstLine="643"/>
        <w:rPr>
          <w:rFonts w:ascii="楷体" w:eastAsia="楷体" w:hAnsi="楷体" w:cs="楷体"/>
          <w:b/>
          <w:bCs/>
          <w:sz w:val="32"/>
          <w:szCs w:val="40"/>
        </w:rPr>
      </w:pPr>
      <w:r>
        <w:rPr>
          <w:rFonts w:ascii="楷体" w:eastAsia="楷体" w:hAnsi="楷体" w:cs="楷体" w:hint="eastAsia"/>
          <w:b/>
          <w:bCs/>
          <w:sz w:val="32"/>
          <w:szCs w:val="40"/>
        </w:rPr>
        <w:t>（四）精准打击涉企刑事犯罪，依法保护企业产权和企业家</w:t>
      </w:r>
    </w:p>
    <w:p w:rsidR="009725F6" w:rsidRDefault="001B32D3">
      <w:pPr>
        <w:spacing w:line="578" w:lineRule="exact"/>
        <w:rPr>
          <w:rFonts w:ascii="楷体" w:eastAsia="楷体" w:hAnsi="楷体" w:cs="楷体"/>
          <w:b/>
          <w:bCs/>
          <w:sz w:val="32"/>
          <w:szCs w:val="40"/>
        </w:rPr>
      </w:pPr>
      <w:r>
        <w:rPr>
          <w:rFonts w:ascii="楷体" w:eastAsia="楷体" w:hAnsi="楷体" w:cs="楷体" w:hint="eastAsia"/>
          <w:b/>
          <w:bCs/>
          <w:sz w:val="32"/>
          <w:szCs w:val="40"/>
        </w:rPr>
        <w:t>合法权益</w:t>
      </w:r>
    </w:p>
    <w:p w:rsidR="009725F6" w:rsidRDefault="001B32D3">
      <w:pPr>
        <w:spacing w:line="578" w:lineRule="exact"/>
        <w:ind w:firstLineChars="200" w:firstLine="643"/>
        <w:rPr>
          <w:rFonts w:ascii="仿宋" w:eastAsia="仿宋" w:hAnsi="仿宋" w:cs="仿宋"/>
          <w:sz w:val="32"/>
          <w:szCs w:val="40"/>
        </w:rPr>
      </w:pPr>
      <w:r>
        <w:rPr>
          <w:rFonts w:ascii="仿宋" w:eastAsia="仿宋" w:hAnsi="仿宋" w:cs="仿宋" w:hint="eastAsia"/>
          <w:b/>
          <w:bCs/>
          <w:sz w:val="32"/>
          <w:szCs w:val="40"/>
        </w:rPr>
        <w:t>6.依法打击涉企刑事犯罪。</w:t>
      </w:r>
      <w:r>
        <w:rPr>
          <w:rFonts w:ascii="仿宋" w:eastAsia="仿宋" w:hAnsi="仿宋" w:cs="仿宋" w:hint="eastAsia"/>
          <w:sz w:val="32"/>
          <w:szCs w:val="40"/>
        </w:rPr>
        <w:t>依法从严打击针对企业和企业家</w:t>
      </w:r>
      <w:r>
        <w:rPr>
          <w:rFonts w:ascii="仿宋" w:eastAsia="仿宋" w:hAnsi="仿宋" w:cs="仿宋" w:hint="eastAsia"/>
          <w:sz w:val="32"/>
          <w:szCs w:val="40"/>
        </w:rPr>
        <w:lastRenderedPageBreak/>
        <w:t>实施的寻衅滋事、强迫交易等黑恶势力犯罪、恶性暴力犯罪，维护企业家人身安全和市场公平交易秩序。依法惩处针对企业和企业家实施的盗窃、抢夺、诈骗等侵犯财产类犯罪，维护企业和企业家财产安全。依法惩处企业工作人员实施的贪污、职务侵占、行受贿等腐败犯罪，净化企业内部经营环境。</w:t>
      </w:r>
    </w:p>
    <w:p w:rsidR="009725F6" w:rsidRDefault="001B32D3">
      <w:pPr>
        <w:spacing w:line="578" w:lineRule="exact"/>
        <w:ind w:firstLineChars="200" w:firstLine="643"/>
        <w:rPr>
          <w:rFonts w:ascii="仿宋" w:eastAsia="仿宋" w:hAnsi="仿宋" w:cs="仿宋"/>
          <w:sz w:val="32"/>
          <w:szCs w:val="40"/>
        </w:rPr>
      </w:pPr>
      <w:r>
        <w:rPr>
          <w:rFonts w:ascii="仿宋" w:eastAsia="仿宋" w:hAnsi="仿宋" w:cs="仿宋" w:hint="eastAsia"/>
          <w:b/>
          <w:bCs/>
          <w:sz w:val="32"/>
          <w:szCs w:val="40"/>
        </w:rPr>
        <w:t>7.依法保护企业产权和企业家合法权益。</w:t>
      </w:r>
      <w:r>
        <w:rPr>
          <w:rFonts w:ascii="仿宋" w:eastAsia="仿宋" w:hAnsi="仿宋" w:cs="仿宋" w:hint="eastAsia"/>
          <w:sz w:val="32"/>
          <w:szCs w:val="40"/>
        </w:rPr>
        <w:t>健全涉企产权冤错案件有效防范和甄别纠正机制，完善涉案财产追缴处置机制，准确区分非法集资与正当融资、合同诈骗与合间纠纷、违法所得与合法财产、个人财产与企业财产的界限，坚决防止把经济纠纷认定为刑事犯罪，把民事责任认定为刑事责任。</w:t>
      </w:r>
    </w:p>
    <w:p w:rsidR="009725F6" w:rsidRDefault="001B32D3">
      <w:pPr>
        <w:spacing w:line="578" w:lineRule="exact"/>
        <w:ind w:firstLineChars="200" w:firstLine="643"/>
        <w:rPr>
          <w:rFonts w:ascii="楷体" w:eastAsia="楷体" w:hAnsi="楷体" w:cs="楷体"/>
          <w:b/>
          <w:bCs/>
          <w:sz w:val="32"/>
          <w:szCs w:val="40"/>
        </w:rPr>
      </w:pPr>
      <w:r>
        <w:rPr>
          <w:rFonts w:ascii="楷体" w:eastAsia="楷体" w:hAnsi="楷体" w:cs="楷体" w:hint="eastAsia"/>
          <w:b/>
          <w:bCs/>
          <w:sz w:val="32"/>
          <w:szCs w:val="40"/>
        </w:rPr>
        <w:t>（五）筑牢生态安全司法屏障，服务绿色低碳发展</w:t>
      </w:r>
    </w:p>
    <w:p w:rsidR="009725F6" w:rsidRDefault="001B32D3">
      <w:pPr>
        <w:spacing w:line="578" w:lineRule="exact"/>
        <w:ind w:firstLineChars="200" w:firstLine="643"/>
        <w:rPr>
          <w:rFonts w:ascii="仿宋" w:eastAsia="仿宋" w:hAnsi="仿宋" w:cs="仿宋"/>
          <w:sz w:val="32"/>
          <w:szCs w:val="40"/>
        </w:rPr>
      </w:pPr>
      <w:r>
        <w:rPr>
          <w:rFonts w:ascii="仿宋" w:eastAsia="仿宋" w:hAnsi="仿宋" w:cs="仿宋" w:hint="eastAsia"/>
          <w:b/>
          <w:bCs/>
          <w:sz w:val="32"/>
          <w:szCs w:val="40"/>
        </w:rPr>
        <w:t>8.践行生态保护最严法治观。</w:t>
      </w:r>
      <w:r>
        <w:rPr>
          <w:rFonts w:ascii="仿宋" w:eastAsia="仿宋" w:hAnsi="仿宋" w:cs="仿宋" w:hint="eastAsia"/>
          <w:sz w:val="32"/>
          <w:szCs w:val="40"/>
        </w:rPr>
        <w:t>严厉打击暗管偷排、跨域倾倒、走私废物等污染环境类案件，依法惩治非法占用耕地、非法侵占河湖、乱砍滥伐、擅自取水等破坏生态类案件，筑牢维护水安全、水环境安全、粮食安全和生态安全司法屏障。</w:t>
      </w:r>
    </w:p>
    <w:p w:rsidR="009725F6" w:rsidRDefault="001B32D3">
      <w:pPr>
        <w:spacing w:line="578" w:lineRule="exact"/>
        <w:ind w:firstLineChars="200" w:firstLine="643"/>
        <w:rPr>
          <w:rFonts w:ascii="仿宋" w:eastAsia="仿宋" w:hAnsi="仿宋" w:cs="仿宋"/>
          <w:sz w:val="32"/>
          <w:szCs w:val="40"/>
        </w:rPr>
      </w:pPr>
      <w:r>
        <w:rPr>
          <w:rFonts w:ascii="仿宋" w:eastAsia="仿宋" w:hAnsi="仿宋" w:cs="仿宋" w:hint="eastAsia"/>
          <w:b/>
          <w:bCs/>
          <w:sz w:val="32"/>
          <w:szCs w:val="40"/>
        </w:rPr>
        <w:t>9.引导生产生活方式向绿色低碳转型。</w:t>
      </w:r>
      <w:r>
        <w:rPr>
          <w:rFonts w:ascii="仿宋" w:eastAsia="仿宋" w:hAnsi="仿宋" w:cs="仿宋" w:hint="eastAsia"/>
          <w:sz w:val="32"/>
          <w:szCs w:val="40"/>
        </w:rPr>
        <w:t>构建环境资源专业化审判，成立环资审判团队，实现环资审判“三合一”运行。妥善审理产业结构调整和绿色转型升级引发的企业改制、整合、破产等案件，支持和保障战略性新兴产业大力发展。加强对碳排放权交易的规范引导，与碳排放登记结算（武汉）有限责任公司建立密切合作关系，探索以“购买碳汇”履行替代性修复义务。持续开展世界坏境日、全国生态日、全国低碳日等主题普法宣传活动，推动形成全民参与节能降碳的良好格局。</w:t>
      </w:r>
    </w:p>
    <w:p w:rsidR="009725F6" w:rsidRDefault="001B32D3">
      <w:pPr>
        <w:spacing w:line="578" w:lineRule="exact"/>
        <w:ind w:firstLineChars="200" w:firstLine="643"/>
        <w:rPr>
          <w:rFonts w:ascii="楷体" w:eastAsia="楷体" w:hAnsi="楷体" w:cs="楷体"/>
          <w:b/>
          <w:bCs/>
          <w:sz w:val="32"/>
          <w:szCs w:val="40"/>
        </w:rPr>
      </w:pPr>
      <w:r>
        <w:rPr>
          <w:rFonts w:ascii="楷体" w:eastAsia="楷体" w:hAnsi="楷体" w:cs="楷体" w:hint="eastAsia"/>
          <w:b/>
          <w:bCs/>
          <w:sz w:val="32"/>
          <w:szCs w:val="40"/>
        </w:rPr>
        <w:lastRenderedPageBreak/>
        <w:t>（六）监督政府守约践诺，实现依法平等全面保护</w:t>
      </w:r>
    </w:p>
    <w:p w:rsidR="009725F6" w:rsidRDefault="001B32D3">
      <w:pPr>
        <w:spacing w:line="578" w:lineRule="exact"/>
        <w:ind w:firstLineChars="200" w:firstLine="643"/>
        <w:rPr>
          <w:rFonts w:ascii="仿宋" w:eastAsia="仿宋" w:hAnsi="仿宋" w:cs="仿宋"/>
          <w:sz w:val="32"/>
          <w:szCs w:val="40"/>
        </w:rPr>
      </w:pPr>
      <w:r>
        <w:rPr>
          <w:rFonts w:ascii="仿宋" w:eastAsia="仿宋" w:hAnsi="仿宋" w:cs="仿宋" w:hint="eastAsia"/>
          <w:b/>
          <w:bCs/>
          <w:sz w:val="32"/>
          <w:szCs w:val="40"/>
        </w:rPr>
        <w:t>10.加速推动行政机关“一把手”出庭应诉常态化机制建设。</w:t>
      </w:r>
      <w:r>
        <w:rPr>
          <w:rFonts w:ascii="仿宋" w:eastAsia="仿宋" w:hAnsi="仿宋" w:cs="仿宋" w:hint="eastAsia"/>
          <w:sz w:val="32"/>
          <w:szCs w:val="40"/>
        </w:rPr>
        <w:t>依法审理行政机关不覆行合同义务、新官不理旧账等不作为乱作为案件。对人民群众和市场主体反映强烈的不作为乱作为行为，通过发布典型案例的形式予以曝光，并将线索移交有关监管部门。对行政执法中影响政务环境的多发、高发领域，提出司法建议，促进行政争议源头治理和实质性化解。</w:t>
      </w:r>
    </w:p>
    <w:p w:rsidR="009725F6" w:rsidRDefault="001B32D3">
      <w:pPr>
        <w:spacing w:line="578" w:lineRule="exact"/>
        <w:ind w:firstLineChars="200" w:firstLine="643"/>
        <w:rPr>
          <w:rFonts w:ascii="楷体" w:eastAsia="楷体" w:hAnsi="楷体" w:cs="楷体"/>
          <w:b/>
          <w:bCs/>
          <w:sz w:val="32"/>
          <w:szCs w:val="40"/>
        </w:rPr>
      </w:pPr>
      <w:r>
        <w:rPr>
          <w:rFonts w:ascii="楷体" w:eastAsia="楷体" w:hAnsi="楷体" w:cs="楷体" w:hint="eastAsia"/>
          <w:b/>
          <w:bCs/>
          <w:sz w:val="32"/>
          <w:szCs w:val="40"/>
        </w:rPr>
        <w:t>（七）“刚柔并济”破解执行难题，帮助企业纾困解难</w:t>
      </w:r>
    </w:p>
    <w:p w:rsidR="009725F6" w:rsidRDefault="001B32D3">
      <w:pPr>
        <w:spacing w:line="578" w:lineRule="exact"/>
        <w:ind w:firstLineChars="200" w:firstLine="643"/>
        <w:rPr>
          <w:rFonts w:ascii="仿宋" w:eastAsia="仿宋" w:hAnsi="仿宋" w:cs="仿宋"/>
          <w:sz w:val="32"/>
          <w:szCs w:val="40"/>
        </w:rPr>
      </w:pPr>
      <w:r>
        <w:rPr>
          <w:rFonts w:ascii="仿宋" w:eastAsia="仿宋" w:hAnsi="仿宋" w:cs="仿宋" w:hint="eastAsia"/>
          <w:b/>
          <w:bCs/>
          <w:sz w:val="32"/>
          <w:szCs w:val="40"/>
        </w:rPr>
        <w:t>11.深化执行联动协调机制。</w:t>
      </w:r>
      <w:r>
        <w:rPr>
          <w:rFonts w:ascii="仿宋" w:eastAsia="仿宋" w:hAnsi="仿宋" w:cs="仿宋" w:hint="eastAsia"/>
          <w:sz w:val="32"/>
          <w:szCs w:val="40"/>
        </w:rPr>
        <w:t>积极争取党委政府支持，建立联席会议制度，推动有关部门齐抓共管，在查人找物扣车、联合信用惩戒、打击拒执罪、基层组织和网格员协同执行等方面凝聚“切实解决执行难”的合力。加强立案、审判、执行各环节有效衔接，在立案环节进行“执行风险提示”和“申请保全告知”，依法做好诉前、诉讼和执前财产保全，做到以保促调、以保促执。</w:t>
      </w:r>
    </w:p>
    <w:p w:rsidR="009725F6" w:rsidRDefault="001B32D3">
      <w:pPr>
        <w:spacing w:line="578" w:lineRule="exact"/>
        <w:ind w:firstLineChars="200" w:firstLine="643"/>
        <w:rPr>
          <w:rFonts w:ascii="仿宋" w:eastAsia="仿宋" w:hAnsi="仿宋" w:cs="仿宋"/>
          <w:sz w:val="32"/>
          <w:szCs w:val="40"/>
        </w:rPr>
      </w:pPr>
      <w:r>
        <w:rPr>
          <w:rFonts w:ascii="仿宋" w:eastAsia="仿宋" w:hAnsi="仿宋" w:cs="仿宋" w:hint="eastAsia"/>
          <w:b/>
          <w:bCs/>
          <w:sz w:val="32"/>
          <w:szCs w:val="40"/>
        </w:rPr>
        <w:t>12.及时发放执行案款。</w:t>
      </w:r>
      <w:r>
        <w:rPr>
          <w:rFonts w:ascii="仿宋" w:eastAsia="仿宋" w:hAnsi="仿宋" w:cs="仿宋" w:hint="eastAsia"/>
          <w:sz w:val="32"/>
          <w:szCs w:val="40"/>
        </w:rPr>
        <w:t>缩短执行案款平均发放用时，无争议的执行案款在5个工作日内办理完成发放手续;暂时无法发放的案款，按规定履行执行案款延期审批流程，不得无故超期发放执行案款，执行案款年度发放率不低于90%。定期清理发放沉积执行案款，降低长期未发放执行案款占比。</w:t>
      </w:r>
    </w:p>
    <w:p w:rsidR="009725F6" w:rsidRDefault="001B32D3">
      <w:pPr>
        <w:spacing w:line="578" w:lineRule="exact"/>
        <w:ind w:firstLineChars="200" w:firstLine="643"/>
        <w:rPr>
          <w:rFonts w:ascii="仿宋" w:eastAsia="仿宋" w:hAnsi="仿宋" w:cs="仿宋"/>
          <w:sz w:val="32"/>
          <w:szCs w:val="40"/>
        </w:rPr>
      </w:pPr>
      <w:r>
        <w:rPr>
          <w:rFonts w:ascii="仿宋" w:eastAsia="仿宋" w:hAnsi="仿宋" w:cs="仿宋" w:hint="eastAsia"/>
          <w:b/>
          <w:bCs/>
          <w:sz w:val="32"/>
          <w:szCs w:val="40"/>
        </w:rPr>
        <w:t>13.强化善意文明执行。</w:t>
      </w:r>
      <w:r>
        <w:rPr>
          <w:rFonts w:ascii="仿宋" w:eastAsia="仿宋" w:hAnsi="仿宋" w:cs="仿宋" w:hint="eastAsia"/>
          <w:sz w:val="32"/>
          <w:szCs w:val="40"/>
        </w:rPr>
        <w:t>因案施策，有多种财产可供执行的，在不损害申请执行人合法权益的情况下，采取对被执行人生产经营影响较小的执行措施;对有发展前景但暂时存在资金困难的被执行人，预留必要的流动资金和往来账户。全面推行失信预警守</w:t>
      </w:r>
      <w:r>
        <w:rPr>
          <w:rFonts w:ascii="仿宋" w:eastAsia="仿宋" w:hAnsi="仿宋" w:cs="仿宋" w:hint="eastAsia"/>
          <w:sz w:val="32"/>
          <w:szCs w:val="40"/>
        </w:rPr>
        <w:lastRenderedPageBreak/>
        <w:t>信激励机制，给予符合条件的被执行人不超过3个月的履行宽限期，暂缓纳入失信被执行人名单，对及时履行法定义务的被执行人，依当事人申请，在3个工作日内出具信用修复证明。</w:t>
      </w:r>
    </w:p>
    <w:p w:rsidR="009725F6" w:rsidRDefault="001B32D3">
      <w:pPr>
        <w:spacing w:line="578" w:lineRule="exact"/>
        <w:ind w:firstLineChars="200" w:firstLine="643"/>
        <w:rPr>
          <w:rFonts w:ascii="仿宋" w:eastAsia="仿宋" w:hAnsi="仿宋" w:cs="仿宋"/>
          <w:sz w:val="32"/>
          <w:szCs w:val="40"/>
        </w:rPr>
      </w:pPr>
      <w:r>
        <w:rPr>
          <w:rFonts w:ascii="仿宋" w:eastAsia="仿宋" w:hAnsi="仿宋" w:cs="仿宋" w:hint="eastAsia"/>
          <w:b/>
          <w:bCs/>
          <w:sz w:val="32"/>
          <w:szCs w:val="40"/>
        </w:rPr>
        <w:t>14.开展涉企执行案件专项监督行动。</w:t>
      </w:r>
      <w:r>
        <w:rPr>
          <w:rFonts w:ascii="仿宋" w:eastAsia="仿宋" w:hAnsi="仿宋" w:cs="仿宋" w:hint="eastAsia"/>
          <w:sz w:val="32"/>
          <w:szCs w:val="40"/>
        </w:rPr>
        <w:t>对涉企超期、信访案件进行全面评查，对存疑案件进行筛查、启动“一案双查”，倒逼执行规范、个案公正，推动执行工作责任制全面准确落实落地。</w:t>
      </w:r>
    </w:p>
    <w:p w:rsidR="009725F6" w:rsidRDefault="001B32D3">
      <w:pPr>
        <w:spacing w:line="578" w:lineRule="exact"/>
        <w:ind w:firstLineChars="200" w:firstLine="643"/>
        <w:rPr>
          <w:rFonts w:ascii="楷体" w:eastAsia="楷体" w:hAnsi="楷体" w:cs="楷体"/>
          <w:b/>
          <w:bCs/>
          <w:sz w:val="32"/>
          <w:szCs w:val="40"/>
        </w:rPr>
      </w:pPr>
      <w:r>
        <w:rPr>
          <w:rFonts w:ascii="楷体" w:eastAsia="楷体" w:hAnsi="楷体" w:cs="楷体" w:hint="eastAsia"/>
          <w:b/>
          <w:bCs/>
          <w:sz w:val="32"/>
          <w:szCs w:val="40"/>
        </w:rPr>
        <w:t>（八）协同联动释放重整效能，推动企业转型升级</w:t>
      </w:r>
    </w:p>
    <w:p w:rsidR="009725F6" w:rsidRDefault="001B32D3">
      <w:pPr>
        <w:spacing w:line="578" w:lineRule="exact"/>
        <w:ind w:firstLineChars="200" w:firstLine="643"/>
        <w:rPr>
          <w:rFonts w:ascii="仿宋" w:eastAsia="仿宋" w:hAnsi="仿宋" w:cs="仿宋"/>
          <w:sz w:val="32"/>
          <w:szCs w:val="40"/>
        </w:rPr>
      </w:pPr>
      <w:r>
        <w:rPr>
          <w:rFonts w:ascii="仿宋" w:eastAsia="仿宋" w:hAnsi="仿宋" w:cs="仿宋" w:hint="eastAsia"/>
          <w:b/>
          <w:bCs/>
          <w:sz w:val="32"/>
          <w:szCs w:val="40"/>
        </w:rPr>
        <w:t>15.深化破产府院协调联动机制。</w:t>
      </w:r>
      <w:r>
        <w:rPr>
          <w:rFonts w:ascii="仿宋" w:eastAsia="仿宋" w:hAnsi="仿宋" w:cs="仿宋" w:hint="eastAsia"/>
          <w:sz w:val="32"/>
          <w:szCs w:val="40"/>
        </w:rPr>
        <w:t>积极争取地方党委政府支持，助力完善与破产审判密切相关的政府公共服务职能，推动税收征管、工商登记管理、信用修复等配套制度的健全和完善，实现破产审判相关政府公共服务由“因案协调”向“依法行政”转变。加强府院之间的信息共享，加快推进法院办案平台与政府政务数据中心之间的信息互联互通，完善破产案件涉案信息“一网通查”、破产事务“一网通办”。</w:t>
      </w:r>
    </w:p>
    <w:p w:rsidR="009725F6" w:rsidRDefault="001B32D3">
      <w:pPr>
        <w:spacing w:line="578" w:lineRule="exact"/>
        <w:ind w:firstLineChars="200" w:firstLine="643"/>
        <w:rPr>
          <w:rFonts w:ascii="仿宋" w:eastAsia="仿宋" w:hAnsi="仿宋" w:cs="仿宋"/>
          <w:sz w:val="32"/>
          <w:szCs w:val="40"/>
        </w:rPr>
      </w:pPr>
      <w:r>
        <w:rPr>
          <w:rFonts w:ascii="仿宋" w:eastAsia="仿宋" w:hAnsi="仿宋" w:cs="仿宋" w:hint="eastAsia"/>
          <w:b/>
          <w:bCs/>
          <w:sz w:val="32"/>
          <w:szCs w:val="40"/>
        </w:rPr>
        <w:t>16.探索“执行转破产+重整”机制。</w:t>
      </w:r>
      <w:r>
        <w:rPr>
          <w:rFonts w:ascii="仿宋" w:eastAsia="仿宋" w:hAnsi="仿宋" w:cs="仿宋" w:hint="eastAsia"/>
          <w:sz w:val="32"/>
          <w:szCs w:val="40"/>
        </w:rPr>
        <w:t>加强案例宣传，引导被执行企业运用重整、和解制度工具渡过难关。对于转入重整或者和解程序的被执行企业，可以暂缓实施有关失信惩戒措施，将其纳入执行中止制度保护框架内，在保留市场主体经营价值的基础上，更好维护债权人利益和社会利益。</w:t>
      </w:r>
    </w:p>
    <w:p w:rsidR="009725F6" w:rsidRDefault="001B32D3">
      <w:pPr>
        <w:spacing w:line="578" w:lineRule="exact"/>
        <w:ind w:firstLineChars="200" w:firstLine="643"/>
        <w:rPr>
          <w:rFonts w:ascii="仿宋" w:eastAsia="仿宋" w:hAnsi="仿宋" w:cs="仿宋"/>
          <w:sz w:val="32"/>
          <w:szCs w:val="40"/>
        </w:rPr>
      </w:pPr>
      <w:r>
        <w:rPr>
          <w:rFonts w:ascii="仿宋" w:eastAsia="仿宋" w:hAnsi="仿宋" w:cs="仿宋" w:hint="eastAsia"/>
          <w:b/>
          <w:bCs/>
          <w:sz w:val="32"/>
          <w:szCs w:val="40"/>
        </w:rPr>
        <w:t>17.完善市场化重整机制。</w:t>
      </w:r>
      <w:r>
        <w:rPr>
          <w:rFonts w:ascii="仿宋" w:eastAsia="仿宋" w:hAnsi="仿宋" w:cs="仿宋" w:hint="eastAsia"/>
          <w:sz w:val="32"/>
          <w:szCs w:val="40"/>
        </w:rPr>
        <w:t>支持企业通过产权交易、并购重组、不良资产收购处置等市场化方式盘活资产。充分发挥预重整制度的识别功能，在判断企业是否具备重整价值时尊重市场判断，接受市场检验和评估，引导重整资源向开放、创新、赋能方向发</w:t>
      </w:r>
      <w:r>
        <w:rPr>
          <w:rFonts w:ascii="仿宋" w:eastAsia="仿宋" w:hAnsi="仿宋" w:cs="仿宋" w:hint="eastAsia"/>
          <w:sz w:val="32"/>
          <w:szCs w:val="40"/>
        </w:rPr>
        <w:lastRenderedPageBreak/>
        <w:t>展，助力企业转型升级。</w:t>
      </w:r>
    </w:p>
    <w:p w:rsidR="009725F6" w:rsidRDefault="001B32D3">
      <w:pPr>
        <w:spacing w:line="578" w:lineRule="exact"/>
        <w:ind w:firstLineChars="200" w:firstLine="643"/>
        <w:rPr>
          <w:rFonts w:ascii="黑体" w:eastAsia="黑体" w:hAnsi="黑体" w:cs="黑体"/>
          <w:b/>
          <w:bCs/>
          <w:sz w:val="32"/>
          <w:szCs w:val="40"/>
        </w:rPr>
      </w:pPr>
      <w:r>
        <w:rPr>
          <w:rFonts w:ascii="黑体" w:eastAsia="黑体" w:hAnsi="黑体" w:cs="黑体" w:hint="eastAsia"/>
          <w:b/>
          <w:bCs/>
          <w:sz w:val="32"/>
          <w:szCs w:val="40"/>
        </w:rPr>
        <w:t>二、工作要求</w:t>
      </w:r>
    </w:p>
    <w:p w:rsidR="009725F6" w:rsidRDefault="001B32D3">
      <w:pPr>
        <w:spacing w:line="578" w:lineRule="exact"/>
        <w:ind w:firstLineChars="200" w:firstLine="643"/>
        <w:rPr>
          <w:rFonts w:ascii="仿宋" w:eastAsia="仿宋" w:hAnsi="仿宋" w:cs="仿宋"/>
          <w:sz w:val="32"/>
          <w:szCs w:val="40"/>
        </w:rPr>
      </w:pPr>
      <w:r>
        <w:rPr>
          <w:rFonts w:ascii="楷体" w:eastAsia="楷体" w:hAnsi="楷体" w:cs="楷体" w:hint="eastAsia"/>
          <w:b/>
          <w:bCs/>
          <w:sz w:val="32"/>
          <w:szCs w:val="40"/>
        </w:rPr>
        <w:t>（一）加强组织领导。</w:t>
      </w:r>
      <w:r>
        <w:rPr>
          <w:rFonts w:ascii="仿宋" w:eastAsia="仿宋" w:hAnsi="仿宋" w:cs="仿宋" w:hint="eastAsia"/>
          <w:sz w:val="32"/>
          <w:szCs w:val="40"/>
        </w:rPr>
        <w:t>全院要进一步提高政治站位，充分认识开展“法治化营商环境建设升级行动”的重大意义，明确责任部门、目标任务和完成时限，确保专项活动扎实有序推进。</w:t>
      </w:r>
    </w:p>
    <w:p w:rsidR="009725F6" w:rsidRDefault="001B32D3">
      <w:pPr>
        <w:spacing w:line="578" w:lineRule="exact"/>
        <w:ind w:firstLineChars="200" w:firstLine="643"/>
        <w:rPr>
          <w:rFonts w:ascii="仿宋" w:eastAsia="仿宋" w:hAnsi="仿宋" w:cs="仿宋"/>
          <w:sz w:val="32"/>
          <w:szCs w:val="40"/>
        </w:rPr>
      </w:pPr>
      <w:r>
        <w:rPr>
          <w:rFonts w:ascii="楷体" w:eastAsia="楷体" w:hAnsi="楷体" w:cs="楷体" w:hint="eastAsia"/>
          <w:b/>
          <w:bCs/>
          <w:sz w:val="32"/>
          <w:szCs w:val="40"/>
        </w:rPr>
        <w:t>（二）强化督导落实。</w:t>
      </w:r>
      <w:r>
        <w:rPr>
          <w:rFonts w:ascii="仿宋" w:eastAsia="仿宋" w:hAnsi="仿宋" w:cs="仿宋" w:hint="eastAsia"/>
          <w:sz w:val="32"/>
          <w:szCs w:val="40"/>
        </w:rPr>
        <w:t>本方案所明确的牵头部门应当严格按照规定的时间要求完成有关工作任务，将各项深化举措分解细化，逐项落实。各责任部门要增强责任意识，制定具体工作措施，推动各项工作任务落实落细，发掘、总结先进经验做法，做好常态化报送。审管办、政治部要加强对各项举措推进情况的跟踪检查和督办，完成情况纳入年度综合考核，确保各项举措落地落实、见行见效。</w:t>
      </w:r>
    </w:p>
    <w:p w:rsidR="009725F6" w:rsidRDefault="001B32D3">
      <w:pPr>
        <w:spacing w:line="578" w:lineRule="exact"/>
        <w:ind w:firstLineChars="200" w:firstLine="643"/>
        <w:rPr>
          <w:rFonts w:ascii="仿宋" w:eastAsia="仿宋" w:hAnsi="仿宋" w:cs="仿宋"/>
          <w:sz w:val="32"/>
          <w:szCs w:val="40"/>
        </w:rPr>
      </w:pPr>
      <w:r>
        <w:rPr>
          <w:rFonts w:ascii="楷体" w:eastAsia="楷体" w:hAnsi="楷体" w:cs="楷体" w:hint="eastAsia"/>
          <w:b/>
          <w:bCs/>
          <w:sz w:val="32"/>
          <w:szCs w:val="40"/>
        </w:rPr>
        <w:t>（三）巩固活动效果。</w:t>
      </w:r>
      <w:r>
        <w:rPr>
          <w:rFonts w:ascii="仿宋" w:eastAsia="仿宋" w:hAnsi="仿宋" w:cs="仿宋" w:hint="eastAsia"/>
          <w:sz w:val="32"/>
          <w:szCs w:val="40"/>
        </w:rPr>
        <w:t>积极探索“小切口”改革和先行区创建，及时总结先进经验，将成效显著、广受好评的经验举措提炼上升为制度规则，在全院推行实施。</w:t>
      </w:r>
    </w:p>
    <w:p w:rsidR="009725F6" w:rsidRDefault="009725F6">
      <w:pPr>
        <w:spacing w:line="578" w:lineRule="exact"/>
        <w:ind w:firstLineChars="200" w:firstLine="640"/>
        <w:rPr>
          <w:rFonts w:ascii="仿宋" w:eastAsia="仿宋" w:hAnsi="仿宋" w:cs="仿宋"/>
          <w:sz w:val="32"/>
          <w:szCs w:val="40"/>
        </w:rPr>
      </w:pPr>
    </w:p>
    <w:sectPr w:rsidR="009725F6" w:rsidSect="009725F6">
      <w:footerReference w:type="default" r:id="rId7"/>
      <w:pgSz w:w="11906" w:h="16838"/>
      <w:pgMar w:top="1701" w:right="1474" w:bottom="1587" w:left="147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FD4" w:rsidRDefault="00694FD4" w:rsidP="009725F6">
      <w:r>
        <w:separator/>
      </w:r>
    </w:p>
  </w:endnote>
  <w:endnote w:type="continuationSeparator" w:id="0">
    <w:p w:rsidR="00694FD4" w:rsidRDefault="00694FD4" w:rsidP="009725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Microsoft YaHei UI"/>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F6" w:rsidRDefault="004D330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9725F6" w:rsidRDefault="004D3302">
                <w:pPr>
                  <w:pStyle w:val="a3"/>
                </w:pPr>
                <w:r>
                  <w:fldChar w:fldCharType="begin"/>
                </w:r>
                <w:r w:rsidR="001B32D3">
                  <w:instrText xml:space="preserve"> PAGE  \* MERGEFORMAT </w:instrText>
                </w:r>
                <w:r>
                  <w:fldChar w:fldCharType="separate"/>
                </w:r>
                <w:r w:rsidR="00585301">
                  <w:rPr>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FD4" w:rsidRDefault="00694FD4" w:rsidP="009725F6">
      <w:r>
        <w:separator/>
      </w:r>
    </w:p>
  </w:footnote>
  <w:footnote w:type="continuationSeparator" w:id="0">
    <w:p w:rsidR="00694FD4" w:rsidRDefault="00694FD4" w:rsidP="009725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FkOTA2YTk3MDlkNDNmZmEyYzAwMWI1NTllM2IxNDAifQ=="/>
  </w:docVars>
  <w:rsids>
    <w:rsidRoot w:val="7F5F6952"/>
    <w:rsid w:val="001B32D3"/>
    <w:rsid w:val="0033664F"/>
    <w:rsid w:val="004D3302"/>
    <w:rsid w:val="00585301"/>
    <w:rsid w:val="00694FD4"/>
    <w:rsid w:val="009725F6"/>
    <w:rsid w:val="05C3668E"/>
    <w:rsid w:val="0D5D22D3"/>
    <w:rsid w:val="12810A91"/>
    <w:rsid w:val="23405FA0"/>
    <w:rsid w:val="301B7F4C"/>
    <w:rsid w:val="35BC0D35"/>
    <w:rsid w:val="46E231AA"/>
    <w:rsid w:val="4BFD41B8"/>
    <w:rsid w:val="57610171"/>
    <w:rsid w:val="579D1807"/>
    <w:rsid w:val="5A0720A2"/>
    <w:rsid w:val="5E5F7D79"/>
    <w:rsid w:val="5F010104"/>
    <w:rsid w:val="735500E2"/>
    <w:rsid w:val="7F5F69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9725F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9725F6"/>
    <w:pPr>
      <w:tabs>
        <w:tab w:val="center" w:pos="4153"/>
        <w:tab w:val="right" w:pos="8306"/>
      </w:tabs>
      <w:snapToGrid w:val="0"/>
      <w:jc w:val="left"/>
    </w:pPr>
    <w:rPr>
      <w:sz w:val="18"/>
    </w:rPr>
  </w:style>
  <w:style w:type="paragraph" w:styleId="a4">
    <w:name w:val="header"/>
    <w:basedOn w:val="a"/>
    <w:autoRedefine/>
    <w:qFormat/>
    <w:rsid w:val="009725F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2024-08-21T08:44:00Z</cp:lastPrinted>
  <dcterms:created xsi:type="dcterms:W3CDTF">2024-11-04T08:24:00Z</dcterms:created>
  <dcterms:modified xsi:type="dcterms:W3CDTF">2024-11-04T09:18:00Z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958962A38B41406899A111778AFA65DC_13</vt:lpwstr>
  </property>
</Properties>
</file>