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tabs>
          <w:tab w:val="right" w:leader="dot" w:pos="8306"/>
        </w:tabs>
        <w:ind w:left="0" w:leftChars="0" w:firstLine="0" w:firstLineChars="0"/>
        <w:jc w:val="center"/>
        <w:rPr>
          <w:rFonts w:hint="eastAsia" w:ascii="方正小标宋简体" w:hAnsi="方正小标宋简体" w:eastAsia="方正小标宋简体" w:cs="方正小标宋简体"/>
          <w:sz w:val="36"/>
          <w:szCs w:val="36"/>
          <w:lang w:val="zh-CN"/>
        </w:rPr>
      </w:pPr>
      <w:r>
        <w:rPr>
          <w:rFonts w:hint="eastAsia" w:ascii="方正小标宋简体" w:hAnsi="方正小标宋简体" w:eastAsia="方正小标宋简体" w:cs="方正小标宋简体"/>
          <w:sz w:val="36"/>
          <w:szCs w:val="36"/>
          <w:lang w:val="zh-CN"/>
        </w:rPr>
        <w:t>襄阳市襄城区人民法院2021年度部门决算</w:t>
      </w:r>
    </w:p>
    <w:p>
      <w:pPr>
        <w:autoSpaceDE w:val="0"/>
        <w:autoSpaceDN w:val="0"/>
        <w:adjustRightInd w:val="0"/>
        <w:ind w:left="-320" w:leftChars="-100" w:right="-320" w:rightChars="-100"/>
        <w:jc w:val="center"/>
        <w:rPr>
          <w:rFonts w:hint="eastAsia" w:eastAsia="黑体"/>
          <w:sz w:val="48"/>
          <w:szCs w:val="48"/>
          <w:lang w:val="zh-CN"/>
        </w:rPr>
      </w:pPr>
    </w:p>
    <w:p>
      <w:pPr>
        <w:pStyle w:val="5"/>
        <w:tabs>
          <w:tab w:val="right" w:leader="dot" w:pos="8306"/>
        </w:tabs>
        <w:ind w:firstLine="2880" w:firstLineChars="800"/>
        <w:jc w:val="both"/>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   录</w:t>
      </w:r>
    </w:p>
    <w:p>
      <w:pPr>
        <w:rPr>
          <w:rFonts w:hint="eastAsia"/>
        </w:rPr>
      </w:pPr>
    </w:p>
    <w:p>
      <w:pPr>
        <w:pStyle w:val="5"/>
        <w:tabs>
          <w:tab w:val="right" w:leader="dot" w:pos="8306"/>
        </w:tabs>
        <w:ind w:left="0" w:leftChars="0"/>
        <w:rPr>
          <w:rFonts w:hint="eastAsia"/>
        </w:rPr>
      </w:pPr>
      <w:r>
        <w:rPr>
          <w:rFonts w:hint="eastAsia" w:ascii="黑体" w:hAnsi="黑体" w:eastAsia="黑体" w:cs="黑体"/>
        </w:rPr>
        <w:fldChar w:fldCharType="begin"/>
      </w:r>
      <w:r>
        <w:rPr>
          <w:rFonts w:hint="eastAsia" w:ascii="黑体" w:hAnsi="黑体" w:eastAsia="黑体" w:cs="黑体"/>
        </w:rPr>
        <w:instrText xml:space="preserve"> HYPERLINK \l _Toc23076 </w:instrText>
      </w:r>
      <w:r>
        <w:rPr>
          <w:rFonts w:hint="eastAsia" w:ascii="黑体" w:hAnsi="黑体" w:eastAsia="黑体" w:cs="黑体"/>
        </w:rPr>
        <w:fldChar w:fldCharType="separate"/>
      </w:r>
      <w:r>
        <w:rPr>
          <w:rFonts w:hint="eastAsia" w:ascii="黑体" w:hAnsi="黑体" w:eastAsia="黑体" w:cs="黑体"/>
        </w:rPr>
        <w:t>第一部分  襄阳市襄城区人民法院概况</w:t>
      </w:r>
      <w:r>
        <w:rPr>
          <w:rFonts w:hint="eastAsia"/>
        </w:rPr>
        <w:tab/>
      </w:r>
      <w:r>
        <w:rPr>
          <w:rFonts w:hint="eastAsia"/>
        </w:rPr>
        <w:fldChar w:fldCharType="begin"/>
      </w:r>
      <w:r>
        <w:rPr>
          <w:rFonts w:hint="eastAsia"/>
        </w:rPr>
        <w:instrText xml:space="preserve"> PAGEREF _Toc23076 \h </w:instrText>
      </w:r>
      <w:r>
        <w:rPr>
          <w:rFonts w:hint="eastAsia"/>
        </w:rPr>
        <w:fldChar w:fldCharType="separate"/>
      </w:r>
      <w:r>
        <w:rPr>
          <w:rFonts w:hint="eastAsia"/>
        </w:rPr>
        <w:t>3</w:t>
      </w:r>
      <w:r>
        <w:rPr>
          <w:rFonts w:hint="eastAsia"/>
        </w:rPr>
        <w:fldChar w:fldCharType="end"/>
      </w:r>
      <w:r>
        <w:rPr>
          <w:rFonts w:hint="eastAsia" w:ascii="黑体" w:hAnsi="黑体" w:eastAsia="黑体" w:cs="黑体"/>
        </w:rPr>
        <w:fldChar w:fldCharType="end"/>
      </w:r>
    </w:p>
    <w:p>
      <w:pPr>
        <w:pStyle w:val="5"/>
        <w:tabs>
          <w:tab w:val="right" w:leader="dot" w:pos="8306"/>
        </w:tabs>
        <w:ind w:left="0" w:leftChars="0"/>
        <w:rPr>
          <w:rFonts w:hint="eastAsia"/>
        </w:rPr>
      </w:pPr>
      <w:r>
        <w:rPr>
          <w:rFonts w:hint="eastAsia"/>
        </w:rPr>
        <w:fldChar w:fldCharType="begin"/>
      </w:r>
      <w:r>
        <w:rPr>
          <w:rFonts w:hint="eastAsia"/>
        </w:rPr>
        <w:instrText xml:space="preserve"> HYPERLINK \l _Toc5570 </w:instrText>
      </w:r>
      <w:r>
        <w:rPr>
          <w:rFonts w:hint="eastAsia"/>
        </w:rPr>
        <w:fldChar w:fldCharType="separate"/>
      </w:r>
      <w:r>
        <w:rPr>
          <w:rFonts w:hint="eastAsia"/>
        </w:rPr>
        <w:t>一、单位主要职责</w:t>
      </w:r>
      <w:r>
        <w:rPr>
          <w:rFonts w:hint="eastAsia"/>
        </w:rPr>
        <w:tab/>
      </w:r>
      <w:r>
        <w:rPr>
          <w:rFonts w:hint="eastAsia"/>
        </w:rPr>
        <w:fldChar w:fldCharType="begin"/>
      </w:r>
      <w:r>
        <w:rPr>
          <w:rFonts w:hint="eastAsia"/>
        </w:rPr>
        <w:instrText xml:space="preserve"> PAGEREF _Toc5570 \h </w:instrText>
      </w:r>
      <w:r>
        <w:rPr>
          <w:rFonts w:hint="eastAsia"/>
        </w:rPr>
        <w:fldChar w:fldCharType="separate"/>
      </w:r>
      <w:r>
        <w:rPr>
          <w:rFonts w:hint="eastAsia"/>
        </w:rPr>
        <w:t>3</w:t>
      </w:r>
      <w:r>
        <w:rPr>
          <w:rFonts w:hint="eastAsia"/>
        </w:rPr>
        <w:fldChar w:fldCharType="end"/>
      </w:r>
      <w:r>
        <w:rPr>
          <w:rFonts w:hint="eastAsia"/>
        </w:rPr>
        <w:fldChar w:fldCharType="end"/>
      </w:r>
    </w:p>
    <w:p>
      <w:pPr>
        <w:pStyle w:val="5"/>
        <w:tabs>
          <w:tab w:val="right" w:leader="dot" w:pos="8306"/>
        </w:tabs>
        <w:ind w:left="0" w:leftChars="0"/>
        <w:rPr>
          <w:rFonts w:hint="eastAsia" w:eastAsia="黑体"/>
          <w:sz w:val="48"/>
          <w:szCs w:val="48"/>
          <w:lang w:val="zh-CN"/>
        </w:rPr>
      </w:pPr>
      <w:r>
        <w:rPr>
          <w:rFonts w:hint="eastAsia"/>
        </w:rPr>
        <w:fldChar w:fldCharType="begin"/>
      </w:r>
      <w:r>
        <w:rPr>
          <w:rFonts w:hint="eastAsia"/>
        </w:rPr>
        <w:instrText xml:space="preserve"> HYPERLINK \l _Toc24489 </w:instrText>
      </w:r>
      <w:r>
        <w:rPr>
          <w:rFonts w:hint="eastAsia"/>
        </w:rPr>
        <w:fldChar w:fldCharType="separate"/>
      </w:r>
      <w:r>
        <w:rPr>
          <w:rFonts w:hint="eastAsia"/>
        </w:rPr>
        <w:t>二、机构设置情况</w:t>
      </w:r>
      <w:r>
        <w:rPr>
          <w:rFonts w:hint="eastAsia"/>
        </w:rPr>
        <w:tab/>
      </w:r>
      <w:r>
        <w:rPr>
          <w:rFonts w:hint="eastAsia"/>
        </w:rPr>
        <w:fldChar w:fldCharType="begin"/>
      </w:r>
      <w:r>
        <w:rPr>
          <w:rFonts w:hint="eastAsia"/>
        </w:rPr>
        <w:instrText xml:space="preserve"> PAGEREF _Toc24489 \h </w:instrText>
      </w:r>
      <w:r>
        <w:rPr>
          <w:rFonts w:hint="eastAsia"/>
        </w:rPr>
        <w:fldChar w:fldCharType="separate"/>
      </w:r>
      <w:r>
        <w:rPr>
          <w:rFonts w:hint="eastAsia"/>
        </w:rPr>
        <w:t>3</w:t>
      </w:r>
      <w:r>
        <w:rPr>
          <w:rFonts w:hint="eastAsia"/>
        </w:rPr>
        <w:fldChar w:fldCharType="end"/>
      </w:r>
      <w:r>
        <w:rPr>
          <w:rFonts w:hint="eastAsia"/>
        </w:rPr>
        <w:fldChar w:fldCharType="end"/>
      </w:r>
    </w:p>
    <w:p>
      <w:pPr>
        <w:pStyle w:val="5"/>
        <w:tabs>
          <w:tab w:val="right" w:leader="dot" w:pos="8306"/>
        </w:tabs>
        <w:ind w:left="0" w:leftChars="0"/>
        <w:rPr>
          <w:rFonts w:hint="eastAsia" w:ascii="黑体" w:hAnsi="黑体" w:eastAsia="黑体" w:cs="黑体"/>
        </w:rPr>
      </w:pPr>
      <w:r>
        <w:rPr>
          <w:rFonts w:hint="eastAsia" w:ascii="黑体" w:hAnsi="黑体" w:eastAsia="黑体" w:cs="黑体"/>
        </w:rPr>
        <w:fldChar w:fldCharType="begin"/>
      </w:r>
      <w:r>
        <w:rPr>
          <w:rFonts w:hint="eastAsia" w:ascii="黑体" w:hAnsi="黑体" w:eastAsia="黑体" w:cs="黑体"/>
        </w:rPr>
        <w:instrText xml:space="preserve"> HYPERLINK \l _Toc18725 </w:instrText>
      </w:r>
      <w:r>
        <w:rPr>
          <w:rFonts w:hint="eastAsia" w:ascii="黑体" w:hAnsi="黑体" w:eastAsia="黑体" w:cs="黑体"/>
        </w:rPr>
        <w:fldChar w:fldCharType="separate"/>
      </w:r>
      <w:r>
        <w:rPr>
          <w:rFonts w:hint="eastAsia" w:ascii="黑体" w:hAnsi="黑体" w:eastAsia="黑体" w:cs="黑体"/>
        </w:rPr>
        <w:t>第</w:t>
      </w:r>
      <w:r>
        <w:rPr>
          <w:rFonts w:hint="eastAsia" w:ascii="黑体" w:hAnsi="黑体" w:eastAsia="黑体" w:cs="黑体"/>
          <w:lang w:eastAsia="zh-CN"/>
        </w:rPr>
        <w:t>二</w:t>
      </w:r>
      <w:r>
        <w:rPr>
          <w:rFonts w:hint="eastAsia" w:ascii="黑体" w:hAnsi="黑体" w:eastAsia="黑体" w:cs="黑体"/>
        </w:rPr>
        <w:t>部分  襄阳市襄城区人民法院202</w:t>
      </w:r>
      <w:r>
        <w:rPr>
          <w:rFonts w:hint="eastAsia" w:ascii="黑体" w:hAnsi="黑体" w:eastAsia="黑体" w:cs="黑体"/>
          <w:lang w:val="en-US" w:eastAsia="zh-CN"/>
        </w:rPr>
        <w:t>1</w:t>
      </w:r>
      <w:r>
        <w:rPr>
          <w:rFonts w:hint="eastAsia" w:ascii="黑体" w:hAnsi="黑体" w:eastAsia="黑体" w:cs="黑体"/>
        </w:rPr>
        <w:t>年度部门决算情况说明</w:t>
      </w:r>
      <w:r>
        <w:rPr>
          <w:rFonts w:hint="eastAsia"/>
        </w:rPr>
        <w:tab/>
      </w:r>
      <w:r>
        <w:rPr>
          <w:rFonts w:hint="eastAsia"/>
          <w:lang w:val="en-US" w:eastAsia="zh-CN"/>
        </w:rPr>
        <w:t>3</w:t>
      </w:r>
      <w:r>
        <w:rPr>
          <w:rFonts w:hint="eastAsia" w:ascii="黑体" w:hAnsi="黑体" w:eastAsia="黑体" w:cs="黑体"/>
        </w:rPr>
        <w:fldChar w:fldCharType="end"/>
      </w:r>
    </w:p>
    <w:p>
      <w:pPr>
        <w:pStyle w:val="5"/>
        <w:tabs>
          <w:tab w:val="right" w:leader="dot" w:pos="8306"/>
        </w:tabs>
        <w:ind w:left="0" w:leftChars="0"/>
        <w:rPr>
          <w:rFonts w:hint="eastAsia"/>
        </w:rPr>
      </w:pPr>
      <w:r>
        <w:rPr>
          <w:rFonts w:hint="eastAsia"/>
        </w:rPr>
        <w:fldChar w:fldCharType="begin"/>
      </w:r>
      <w:r>
        <w:rPr>
          <w:rFonts w:hint="eastAsia"/>
        </w:rPr>
        <w:instrText xml:space="preserve"> HYPERLINK \l _Toc8475 </w:instrText>
      </w:r>
      <w:r>
        <w:rPr>
          <w:rFonts w:hint="eastAsia"/>
        </w:rPr>
        <w:fldChar w:fldCharType="separate"/>
      </w:r>
      <w:r>
        <w:rPr>
          <w:rFonts w:hint="eastAsia"/>
        </w:rPr>
        <w:t>一、收入支出决算总体情况说明</w:t>
      </w:r>
      <w:r>
        <w:rPr>
          <w:rFonts w:hint="eastAsia"/>
        </w:rPr>
        <w:tab/>
      </w:r>
      <w:r>
        <w:rPr>
          <w:rFonts w:hint="eastAsia"/>
          <w:lang w:val="en-US" w:eastAsia="zh-CN"/>
        </w:rPr>
        <w:t>3</w:t>
      </w:r>
      <w:r>
        <w:rPr>
          <w:rFonts w:hint="eastAsia"/>
        </w:rPr>
        <w:fldChar w:fldCharType="end"/>
      </w:r>
    </w:p>
    <w:p>
      <w:pPr>
        <w:pStyle w:val="5"/>
        <w:tabs>
          <w:tab w:val="right" w:leader="dot" w:pos="8306"/>
        </w:tabs>
        <w:ind w:left="0" w:leftChars="0"/>
        <w:rPr>
          <w:rFonts w:hint="eastAsia"/>
        </w:rPr>
      </w:pPr>
      <w:r>
        <w:rPr>
          <w:rFonts w:hint="eastAsia"/>
        </w:rPr>
        <w:fldChar w:fldCharType="begin"/>
      </w:r>
      <w:r>
        <w:rPr>
          <w:rFonts w:hint="eastAsia"/>
        </w:rPr>
        <w:instrText xml:space="preserve"> HYPERLINK \l _Toc4024 </w:instrText>
      </w:r>
      <w:r>
        <w:rPr>
          <w:rFonts w:hint="eastAsia"/>
        </w:rPr>
        <w:fldChar w:fldCharType="separate"/>
      </w:r>
      <w:r>
        <w:rPr>
          <w:rFonts w:hint="eastAsia"/>
        </w:rPr>
        <w:t>二、收入决算情况说明</w:t>
      </w:r>
      <w:r>
        <w:rPr>
          <w:rFonts w:hint="eastAsia"/>
        </w:rPr>
        <w:tab/>
      </w:r>
      <w:r>
        <w:rPr>
          <w:rFonts w:hint="eastAsia"/>
          <w:lang w:val="en-US" w:eastAsia="zh-CN"/>
        </w:rPr>
        <w:t>4</w:t>
      </w:r>
      <w:r>
        <w:rPr>
          <w:rFonts w:hint="eastAsia"/>
        </w:rPr>
        <w:fldChar w:fldCharType="end"/>
      </w:r>
    </w:p>
    <w:p>
      <w:pPr>
        <w:pStyle w:val="5"/>
        <w:tabs>
          <w:tab w:val="right" w:leader="dot" w:pos="8306"/>
        </w:tabs>
        <w:ind w:left="0" w:leftChars="0"/>
        <w:rPr>
          <w:rFonts w:hint="eastAsia"/>
        </w:rPr>
      </w:pPr>
      <w:r>
        <w:rPr>
          <w:rFonts w:hint="eastAsia"/>
        </w:rPr>
        <w:fldChar w:fldCharType="begin"/>
      </w:r>
      <w:r>
        <w:rPr>
          <w:rFonts w:hint="eastAsia"/>
        </w:rPr>
        <w:instrText xml:space="preserve"> HYPERLINK \l _Toc9240 </w:instrText>
      </w:r>
      <w:r>
        <w:rPr>
          <w:rFonts w:hint="eastAsia"/>
        </w:rPr>
        <w:fldChar w:fldCharType="separate"/>
      </w:r>
      <w:r>
        <w:rPr>
          <w:rFonts w:hint="eastAsia"/>
        </w:rPr>
        <w:t>三、支出决算情况说明</w:t>
      </w:r>
      <w:r>
        <w:rPr>
          <w:rFonts w:hint="eastAsia"/>
        </w:rPr>
        <w:tab/>
      </w:r>
      <w:r>
        <w:rPr>
          <w:rFonts w:hint="eastAsia"/>
          <w:lang w:val="en-US" w:eastAsia="zh-CN"/>
        </w:rPr>
        <w:t>4</w:t>
      </w:r>
      <w:r>
        <w:rPr>
          <w:rFonts w:hint="eastAsia"/>
        </w:rPr>
        <w:fldChar w:fldCharType="end"/>
      </w:r>
    </w:p>
    <w:p>
      <w:pPr>
        <w:pStyle w:val="5"/>
        <w:tabs>
          <w:tab w:val="right" w:leader="dot" w:pos="8306"/>
        </w:tabs>
        <w:ind w:left="0" w:leftChars="0"/>
        <w:rPr>
          <w:rFonts w:hint="eastAsia"/>
        </w:rPr>
      </w:pPr>
      <w:r>
        <w:rPr>
          <w:rFonts w:hint="eastAsia"/>
        </w:rPr>
        <w:fldChar w:fldCharType="begin"/>
      </w:r>
      <w:r>
        <w:rPr>
          <w:rFonts w:hint="eastAsia"/>
        </w:rPr>
        <w:instrText xml:space="preserve"> HYPERLINK \l _Toc15166 </w:instrText>
      </w:r>
      <w:r>
        <w:rPr>
          <w:rFonts w:hint="eastAsia"/>
        </w:rPr>
        <w:fldChar w:fldCharType="separate"/>
      </w:r>
      <w:r>
        <w:rPr>
          <w:rFonts w:hint="eastAsia"/>
        </w:rPr>
        <w:t>四、财政拨款收入支出决算总体情况说明</w:t>
      </w:r>
      <w:r>
        <w:rPr>
          <w:rFonts w:hint="eastAsia"/>
        </w:rPr>
        <w:tab/>
      </w:r>
      <w:r>
        <w:rPr>
          <w:rFonts w:hint="eastAsia"/>
          <w:lang w:val="en-US" w:eastAsia="zh-CN"/>
        </w:rPr>
        <w:t>4</w:t>
      </w:r>
      <w:r>
        <w:rPr>
          <w:rFonts w:hint="eastAsia"/>
        </w:rPr>
        <w:fldChar w:fldCharType="end"/>
      </w:r>
    </w:p>
    <w:p>
      <w:pPr>
        <w:pStyle w:val="5"/>
        <w:tabs>
          <w:tab w:val="right" w:leader="dot" w:pos="8306"/>
        </w:tabs>
        <w:ind w:left="0" w:leftChars="0"/>
        <w:rPr>
          <w:rFonts w:hint="eastAsia"/>
        </w:rPr>
      </w:pPr>
      <w:r>
        <w:rPr>
          <w:rFonts w:hint="eastAsia"/>
        </w:rPr>
        <w:fldChar w:fldCharType="begin"/>
      </w:r>
      <w:r>
        <w:rPr>
          <w:rFonts w:hint="eastAsia"/>
        </w:rPr>
        <w:instrText xml:space="preserve"> HYPERLINK \l _Toc23082 </w:instrText>
      </w:r>
      <w:r>
        <w:rPr>
          <w:rFonts w:hint="eastAsia"/>
        </w:rPr>
        <w:fldChar w:fldCharType="separate"/>
      </w:r>
      <w:r>
        <w:rPr>
          <w:rFonts w:hint="eastAsia"/>
        </w:rPr>
        <w:t>五、一般公共预算财政拨款支出决算情况说明</w:t>
      </w:r>
      <w:r>
        <w:rPr>
          <w:rFonts w:hint="eastAsia"/>
        </w:rPr>
        <w:tab/>
      </w:r>
      <w:r>
        <w:rPr>
          <w:rFonts w:hint="eastAsia"/>
          <w:lang w:val="en-US" w:eastAsia="zh-CN"/>
        </w:rPr>
        <w:t>5</w:t>
      </w:r>
      <w:r>
        <w:rPr>
          <w:rFonts w:hint="eastAsia"/>
        </w:rPr>
        <w:fldChar w:fldCharType="end"/>
      </w:r>
    </w:p>
    <w:p>
      <w:pPr>
        <w:pStyle w:val="5"/>
        <w:tabs>
          <w:tab w:val="right" w:leader="dot" w:pos="8306"/>
        </w:tabs>
        <w:ind w:left="0" w:leftChars="0"/>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_Toc27840 </w:instrText>
      </w:r>
      <w:r>
        <w:rPr>
          <w:rFonts w:hint="eastAsia" w:ascii="黑体" w:hAnsi="黑体" w:eastAsia="黑体" w:cs="黑体"/>
          <w:szCs w:val="32"/>
        </w:rPr>
        <w:fldChar w:fldCharType="separate"/>
      </w:r>
      <w:r>
        <w:rPr>
          <w:rFonts w:hint="eastAsia"/>
        </w:rPr>
        <w:t>六、一般公共预算财政拨款基本支出决算情况说明</w:t>
      </w:r>
      <w:r>
        <w:tab/>
      </w:r>
      <w:r>
        <w:rPr>
          <w:rFonts w:hint="eastAsia"/>
          <w:lang w:val="en-US" w:eastAsia="zh-CN"/>
        </w:rPr>
        <w:t>6</w:t>
      </w:r>
      <w:r>
        <w:rPr>
          <w:rFonts w:hint="eastAsia" w:ascii="黑体" w:hAnsi="黑体" w:eastAsia="黑体" w:cs="黑体"/>
          <w:szCs w:val="32"/>
        </w:rPr>
        <w:fldChar w:fldCharType="end"/>
      </w:r>
    </w:p>
    <w:p>
      <w:pPr>
        <w:pStyle w:val="5"/>
        <w:tabs>
          <w:tab w:val="right" w:leader="dot" w:pos="8306"/>
        </w:tabs>
        <w:ind w:left="0" w:leftChars="0"/>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_Toc20894 </w:instrText>
      </w:r>
      <w:r>
        <w:rPr>
          <w:rFonts w:hint="eastAsia" w:ascii="黑体" w:hAnsi="黑体" w:eastAsia="黑体" w:cs="黑体"/>
          <w:szCs w:val="32"/>
        </w:rPr>
        <w:fldChar w:fldCharType="separate"/>
      </w:r>
      <w:r>
        <w:rPr>
          <w:rFonts w:hint="eastAsia"/>
        </w:rPr>
        <w:t>七、政府性基金预算财政拨款收入支出决算情况说明</w:t>
      </w:r>
      <w:r>
        <w:tab/>
      </w:r>
      <w:r>
        <w:rPr>
          <w:rFonts w:hint="eastAsia"/>
          <w:lang w:val="en-US" w:eastAsia="zh-CN"/>
        </w:rPr>
        <w:t>7</w:t>
      </w:r>
      <w:r>
        <w:rPr>
          <w:rFonts w:hint="eastAsia" w:ascii="黑体" w:hAnsi="黑体" w:eastAsia="黑体" w:cs="黑体"/>
          <w:szCs w:val="32"/>
        </w:rPr>
        <w:fldChar w:fldCharType="end"/>
      </w:r>
    </w:p>
    <w:p>
      <w:pPr>
        <w:pStyle w:val="5"/>
        <w:tabs>
          <w:tab w:val="right" w:leader="dot" w:pos="8306"/>
        </w:tabs>
        <w:ind w:left="0" w:leftChars="0"/>
        <w:rPr>
          <w:rFonts w:hint="eastAsia" w:eastAsia="黑体"/>
          <w:lang w:val="en-US" w:eastAsia="zh-CN"/>
        </w:rPr>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_Toc19734 </w:instrText>
      </w:r>
      <w:r>
        <w:rPr>
          <w:rFonts w:hint="eastAsia" w:ascii="黑体" w:hAnsi="黑体" w:eastAsia="黑体" w:cs="黑体"/>
          <w:szCs w:val="32"/>
        </w:rPr>
        <w:fldChar w:fldCharType="separate"/>
      </w:r>
      <w:r>
        <w:rPr>
          <w:rFonts w:hint="eastAsia"/>
        </w:rPr>
        <w:t>八、国有资本经营预算财政拨款支出决算情况说明</w:t>
      </w:r>
      <w:r>
        <w:tab/>
      </w:r>
      <w:r>
        <w:rPr>
          <w:rFonts w:hint="eastAsia"/>
          <w:lang w:val="en-US" w:eastAsia="zh-CN"/>
        </w:rPr>
        <w:t>7</w:t>
      </w:r>
      <w:r>
        <w:rPr>
          <w:rFonts w:hint="eastAsia" w:ascii="黑体" w:hAnsi="黑体" w:eastAsia="黑体" w:cs="黑体"/>
          <w:szCs w:val="32"/>
        </w:rPr>
        <w:fldChar w:fldCharType="end"/>
      </w:r>
    </w:p>
    <w:p>
      <w:pPr>
        <w:pStyle w:val="5"/>
        <w:tabs>
          <w:tab w:val="right" w:leader="dot" w:pos="8306"/>
        </w:tabs>
        <w:ind w:left="0" w:leftChars="0"/>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_Toc7334 </w:instrText>
      </w:r>
      <w:r>
        <w:rPr>
          <w:rFonts w:hint="eastAsia" w:ascii="黑体" w:hAnsi="黑体" w:eastAsia="黑体" w:cs="黑体"/>
          <w:szCs w:val="32"/>
        </w:rPr>
        <w:fldChar w:fldCharType="separate"/>
      </w:r>
      <w:r>
        <w:rPr>
          <w:rFonts w:hint="eastAsia"/>
        </w:rPr>
        <w:t>九、财政拨款“三公”经费支出决算情况说明</w:t>
      </w:r>
      <w:r>
        <w:tab/>
      </w:r>
      <w:r>
        <w:rPr>
          <w:rFonts w:hint="eastAsia"/>
          <w:lang w:val="en-US" w:eastAsia="zh-CN"/>
        </w:rPr>
        <w:t>7</w:t>
      </w:r>
      <w:r>
        <w:rPr>
          <w:rFonts w:hint="eastAsia" w:ascii="黑体" w:hAnsi="黑体" w:eastAsia="黑体" w:cs="黑体"/>
          <w:szCs w:val="32"/>
        </w:rPr>
        <w:fldChar w:fldCharType="end"/>
      </w:r>
    </w:p>
    <w:p>
      <w:pPr>
        <w:pStyle w:val="5"/>
        <w:tabs>
          <w:tab w:val="right" w:leader="dot" w:pos="8306"/>
        </w:tabs>
        <w:ind w:left="0" w:leftChars="0"/>
        <w:rPr>
          <w:rFonts w:hint="eastAsia" w:eastAsia="黑体"/>
          <w:lang w:val="en-US" w:eastAsia="zh-CN"/>
        </w:rPr>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_Toc26492 </w:instrText>
      </w:r>
      <w:r>
        <w:rPr>
          <w:rFonts w:hint="eastAsia" w:ascii="黑体" w:hAnsi="黑体" w:eastAsia="黑体" w:cs="黑体"/>
          <w:szCs w:val="32"/>
        </w:rPr>
        <w:fldChar w:fldCharType="separate"/>
      </w:r>
      <w:r>
        <w:rPr>
          <w:rFonts w:hint="eastAsia"/>
        </w:rPr>
        <w:t>十、机关运行经费支出说明</w:t>
      </w:r>
      <w:r>
        <w:tab/>
      </w:r>
      <w:r>
        <w:rPr>
          <w:rFonts w:hint="eastAsia"/>
          <w:lang w:val="en-US" w:eastAsia="zh-CN"/>
        </w:rPr>
        <w:t>9</w:t>
      </w:r>
      <w:r>
        <w:rPr>
          <w:rFonts w:hint="eastAsia" w:ascii="黑体" w:hAnsi="黑体" w:eastAsia="黑体" w:cs="黑体"/>
          <w:szCs w:val="32"/>
        </w:rPr>
        <w:fldChar w:fldCharType="end"/>
      </w:r>
    </w:p>
    <w:p>
      <w:pPr>
        <w:pStyle w:val="5"/>
        <w:tabs>
          <w:tab w:val="right" w:leader="dot" w:pos="8306"/>
        </w:tabs>
        <w:ind w:left="0" w:leftChars="0"/>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_Toc7195 </w:instrText>
      </w:r>
      <w:r>
        <w:rPr>
          <w:rFonts w:hint="eastAsia" w:ascii="黑体" w:hAnsi="黑体" w:eastAsia="黑体" w:cs="黑体"/>
          <w:szCs w:val="32"/>
        </w:rPr>
        <w:fldChar w:fldCharType="separate"/>
      </w:r>
      <w:r>
        <w:rPr>
          <w:rFonts w:hint="eastAsia"/>
        </w:rPr>
        <w:t>十一、政府采购支出说明</w:t>
      </w:r>
      <w:r>
        <w:tab/>
      </w:r>
      <w:r>
        <w:rPr>
          <w:rFonts w:hint="eastAsia"/>
          <w:lang w:val="en-US" w:eastAsia="zh-CN"/>
        </w:rPr>
        <w:t>9</w:t>
      </w:r>
      <w:r>
        <w:rPr>
          <w:rFonts w:hint="eastAsia" w:ascii="黑体" w:hAnsi="黑体" w:eastAsia="黑体" w:cs="黑体"/>
          <w:szCs w:val="32"/>
        </w:rPr>
        <w:fldChar w:fldCharType="end"/>
      </w:r>
    </w:p>
    <w:p>
      <w:pPr>
        <w:pStyle w:val="5"/>
        <w:tabs>
          <w:tab w:val="right" w:leader="dot" w:pos="8306"/>
        </w:tabs>
        <w:ind w:left="0" w:leftChars="0"/>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_Toc14794 </w:instrText>
      </w:r>
      <w:r>
        <w:rPr>
          <w:rFonts w:hint="eastAsia" w:ascii="黑体" w:hAnsi="黑体" w:eastAsia="黑体" w:cs="黑体"/>
          <w:szCs w:val="32"/>
        </w:rPr>
        <w:fldChar w:fldCharType="separate"/>
      </w:r>
      <w:r>
        <w:rPr>
          <w:rFonts w:hint="eastAsia"/>
        </w:rPr>
        <w:t>十二、国有资产占用情况说明</w:t>
      </w:r>
      <w:r>
        <w:tab/>
      </w:r>
      <w:r>
        <w:rPr>
          <w:rFonts w:hint="eastAsia"/>
          <w:lang w:val="en-US" w:eastAsia="zh-CN"/>
        </w:rPr>
        <w:t>9</w:t>
      </w:r>
      <w:r>
        <w:rPr>
          <w:rFonts w:hint="eastAsia" w:ascii="黑体" w:hAnsi="黑体" w:eastAsia="黑体" w:cs="黑体"/>
          <w:szCs w:val="32"/>
        </w:rPr>
        <w:fldChar w:fldCharType="end"/>
      </w:r>
    </w:p>
    <w:p>
      <w:pPr>
        <w:pStyle w:val="5"/>
        <w:tabs>
          <w:tab w:val="right" w:leader="dot" w:pos="8306"/>
        </w:tabs>
        <w:ind w:left="0" w:leftChars="0"/>
        <w:rPr>
          <w:rFonts w:hint="eastAsia" w:eastAsia="黑体"/>
          <w:lang w:val="en-US" w:eastAsia="zh-CN"/>
        </w:rPr>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_Toc32079 </w:instrText>
      </w:r>
      <w:r>
        <w:rPr>
          <w:rFonts w:hint="eastAsia" w:ascii="黑体" w:hAnsi="黑体" w:eastAsia="黑体" w:cs="黑体"/>
          <w:szCs w:val="32"/>
        </w:rPr>
        <w:fldChar w:fldCharType="separate"/>
      </w:r>
      <w:r>
        <w:rPr>
          <w:rFonts w:hint="eastAsia"/>
        </w:rPr>
        <w:t>十三、预算绩效情况说明</w:t>
      </w:r>
      <w:r>
        <w:tab/>
      </w:r>
      <w:r>
        <w:rPr>
          <w:rFonts w:hint="eastAsia"/>
          <w:lang w:val="en-US" w:eastAsia="zh-CN"/>
        </w:rPr>
        <w:t>1</w:t>
      </w:r>
      <w:r>
        <w:rPr>
          <w:rFonts w:hint="eastAsia" w:ascii="黑体" w:hAnsi="黑体" w:eastAsia="黑体" w:cs="黑体"/>
          <w:szCs w:val="32"/>
        </w:rPr>
        <w:fldChar w:fldCharType="end"/>
      </w:r>
      <w:r>
        <w:rPr>
          <w:rFonts w:hint="eastAsia" w:ascii="黑体" w:hAnsi="黑体" w:eastAsia="黑体" w:cs="黑体"/>
          <w:szCs w:val="32"/>
          <w:lang w:val="en-US" w:eastAsia="zh-CN"/>
        </w:rPr>
        <w:t>0</w:t>
      </w:r>
    </w:p>
    <w:p>
      <w:pPr>
        <w:pStyle w:val="5"/>
        <w:tabs>
          <w:tab w:val="right" w:leader="dot" w:pos="8306"/>
        </w:tabs>
        <w:ind w:left="0" w:leftChars="0"/>
        <w:rPr>
          <w:rFonts w:hint="eastAsia" w:eastAsia="黑体"/>
          <w:lang w:val="en-US" w:eastAsia="zh-CN"/>
        </w:rPr>
      </w:pPr>
      <w:r>
        <w:rPr>
          <w:rFonts w:hint="eastAsia" w:ascii="黑体" w:hAnsi="黑体" w:eastAsia="黑体" w:cs="黑体"/>
          <w:szCs w:val="32"/>
        </w:rPr>
        <w:fldChar w:fldCharType="begin"/>
      </w:r>
      <w:r>
        <w:rPr>
          <w:rFonts w:hint="eastAsia" w:ascii="黑体" w:hAnsi="黑体" w:eastAsia="黑体" w:cs="黑体"/>
          <w:szCs w:val="32"/>
        </w:rPr>
        <w:instrText xml:space="preserve"> HYPERLINK \l _Toc12154 </w:instrText>
      </w:r>
      <w:r>
        <w:rPr>
          <w:rFonts w:hint="eastAsia" w:ascii="黑体" w:hAnsi="黑体" w:eastAsia="黑体" w:cs="黑体"/>
          <w:szCs w:val="32"/>
        </w:rPr>
        <w:fldChar w:fldCharType="separate"/>
      </w:r>
      <w:r>
        <w:rPr>
          <w:rFonts w:hint="eastAsia"/>
        </w:rPr>
        <w:t>十四、财政专项支出、专项转移支付支出情况说明</w:t>
      </w:r>
      <w:r>
        <w:tab/>
      </w:r>
      <w:r>
        <w:rPr>
          <w:rFonts w:hint="eastAsia"/>
          <w:lang w:val="en-US" w:eastAsia="zh-CN"/>
        </w:rPr>
        <w:t>1</w:t>
      </w:r>
      <w:r>
        <w:rPr>
          <w:rFonts w:hint="eastAsia" w:ascii="黑体" w:hAnsi="黑体" w:eastAsia="黑体" w:cs="黑体"/>
          <w:szCs w:val="32"/>
        </w:rPr>
        <w:fldChar w:fldCharType="end"/>
      </w:r>
      <w:r>
        <w:rPr>
          <w:rFonts w:hint="eastAsia" w:ascii="黑体" w:hAnsi="黑体" w:eastAsia="黑体" w:cs="黑体"/>
          <w:szCs w:val="32"/>
          <w:lang w:val="en-US" w:eastAsia="zh-CN"/>
        </w:rPr>
        <w:t>1</w:t>
      </w:r>
    </w:p>
    <w:p>
      <w:pPr>
        <w:pStyle w:val="5"/>
        <w:tabs>
          <w:tab w:val="right" w:leader="dot" w:pos="8306"/>
        </w:tabs>
        <w:ind w:left="0" w:leftChars="0"/>
        <w:rPr>
          <w:rFonts w:hint="eastAsia" w:ascii="黑体" w:hAnsi="黑体" w:eastAsia="黑体" w:cs="黑体"/>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_Toc27514 </w:instrText>
      </w:r>
      <w:r>
        <w:rPr>
          <w:rFonts w:hint="eastAsia" w:ascii="黑体" w:hAnsi="黑体" w:eastAsia="黑体" w:cs="黑体"/>
        </w:rPr>
        <w:fldChar w:fldCharType="separate"/>
      </w:r>
      <w:r>
        <w:rPr>
          <w:rFonts w:hint="eastAsia" w:ascii="黑体" w:hAnsi="黑体" w:eastAsia="黑体" w:cs="黑体"/>
        </w:rPr>
        <w:t>第</w:t>
      </w:r>
      <w:r>
        <w:rPr>
          <w:rFonts w:hint="eastAsia" w:ascii="黑体" w:hAnsi="黑体" w:eastAsia="黑体" w:cs="黑体"/>
          <w:lang w:eastAsia="zh-CN"/>
        </w:rPr>
        <w:t>三</w:t>
      </w:r>
      <w:r>
        <w:rPr>
          <w:rFonts w:hint="eastAsia" w:ascii="黑体" w:hAnsi="黑体" w:eastAsia="黑体" w:cs="黑体"/>
        </w:rPr>
        <w:t>部分  其他需要说明的情况</w:t>
      </w:r>
      <w:r>
        <w:rPr>
          <w:rFonts w:hint="eastAsia" w:ascii="黑体" w:hAnsi="黑体" w:eastAsia="黑体" w:cs="黑体"/>
        </w:rPr>
        <w:tab/>
      </w:r>
      <w:r>
        <w:rPr>
          <w:rFonts w:hint="eastAsia" w:ascii="黑体" w:hAnsi="黑体" w:eastAsia="黑体" w:cs="黑体"/>
          <w:lang w:val="en-US" w:eastAsia="zh-CN"/>
        </w:rPr>
        <w:t>1</w:t>
      </w:r>
      <w:r>
        <w:rPr>
          <w:rFonts w:hint="eastAsia" w:ascii="黑体" w:hAnsi="黑体" w:eastAsia="黑体" w:cs="黑体"/>
        </w:rPr>
        <w:fldChar w:fldCharType="end"/>
      </w:r>
      <w:r>
        <w:rPr>
          <w:rFonts w:hint="eastAsia" w:ascii="黑体" w:hAnsi="黑体" w:eastAsia="黑体" w:cs="黑体"/>
          <w:lang w:val="en-US" w:eastAsia="zh-CN"/>
        </w:rPr>
        <w:t>2</w:t>
      </w:r>
    </w:p>
    <w:p>
      <w:pPr>
        <w:pStyle w:val="5"/>
        <w:tabs>
          <w:tab w:val="right" w:leader="dot" w:pos="8306"/>
        </w:tabs>
        <w:ind w:left="0" w:leftChars="0"/>
        <w:rPr>
          <w:rFonts w:hint="eastAsia" w:ascii="黑体" w:hAnsi="黑体" w:eastAsia="黑体" w:cs="黑体"/>
          <w:lang w:val="en-US" w:eastAsia="zh-CN"/>
        </w:rPr>
      </w:pPr>
      <w:r>
        <w:rPr>
          <w:rFonts w:hint="eastAsia" w:ascii="黑体" w:hAnsi="黑体" w:eastAsia="黑体" w:cs="黑体"/>
        </w:rPr>
        <w:fldChar w:fldCharType="begin"/>
      </w:r>
      <w:r>
        <w:rPr>
          <w:rFonts w:hint="eastAsia" w:ascii="黑体" w:hAnsi="黑体" w:eastAsia="黑体" w:cs="黑体"/>
        </w:rPr>
        <w:instrText xml:space="preserve"> HYPERLINK \l _Toc27514 </w:instrText>
      </w:r>
      <w:r>
        <w:rPr>
          <w:rFonts w:hint="eastAsia" w:ascii="黑体" w:hAnsi="黑体" w:eastAsia="黑体" w:cs="黑体"/>
        </w:rPr>
        <w:fldChar w:fldCharType="separate"/>
      </w:r>
      <w:r>
        <w:rPr>
          <w:rFonts w:hint="eastAsia" w:ascii="黑体" w:hAnsi="黑体" w:eastAsia="黑体" w:cs="黑体"/>
        </w:rPr>
        <w:t>第</w:t>
      </w:r>
      <w:r>
        <w:rPr>
          <w:rFonts w:hint="eastAsia" w:ascii="黑体" w:hAnsi="黑体" w:eastAsia="黑体" w:cs="黑体"/>
          <w:lang w:eastAsia="zh-CN"/>
        </w:rPr>
        <w:t>四</w:t>
      </w:r>
      <w:r>
        <w:rPr>
          <w:rFonts w:hint="eastAsia" w:ascii="黑体" w:hAnsi="黑体" w:eastAsia="黑体" w:cs="黑体"/>
        </w:rPr>
        <w:t xml:space="preserve">部分  </w:t>
      </w:r>
      <w:r>
        <w:rPr>
          <w:rFonts w:hint="eastAsia" w:ascii="黑体" w:hAnsi="黑体" w:eastAsia="黑体" w:cs="黑体"/>
          <w:lang w:eastAsia="zh-CN"/>
        </w:rPr>
        <w:t>名词解释</w:t>
      </w:r>
      <w:r>
        <w:rPr>
          <w:rFonts w:hint="eastAsia" w:ascii="黑体" w:hAnsi="黑体" w:eastAsia="黑体" w:cs="黑体"/>
        </w:rPr>
        <w:tab/>
      </w:r>
      <w:r>
        <w:rPr>
          <w:rFonts w:hint="eastAsia" w:ascii="黑体" w:hAnsi="黑体" w:eastAsia="黑体" w:cs="黑体"/>
          <w:lang w:val="en-US" w:eastAsia="zh-CN"/>
        </w:rPr>
        <w:t>1</w:t>
      </w:r>
      <w:r>
        <w:rPr>
          <w:rFonts w:hint="eastAsia" w:ascii="黑体" w:hAnsi="黑体" w:eastAsia="黑体" w:cs="黑体"/>
        </w:rPr>
        <w:fldChar w:fldCharType="end"/>
      </w:r>
      <w:r>
        <w:rPr>
          <w:rFonts w:hint="eastAsia" w:ascii="黑体" w:hAnsi="黑体" w:eastAsia="黑体" w:cs="黑体"/>
          <w:lang w:val="en-US" w:eastAsia="zh-CN"/>
        </w:rPr>
        <w:t>2</w:t>
      </w: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b/>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left="-320" w:leftChars="-100" w:right="-320" w:rightChars="-100"/>
        <w:jc w:val="center"/>
        <w:rPr>
          <w:rFonts w:hint="eastAsia" w:ascii="仿宋" w:hAnsi="仿宋" w:eastAsia="仿宋"/>
          <w:szCs w:val="32"/>
          <w:lang w:val="zh-CN"/>
        </w:rPr>
      </w:pPr>
    </w:p>
    <w:p>
      <w:pPr>
        <w:autoSpaceDE w:val="0"/>
        <w:autoSpaceDN w:val="0"/>
        <w:adjustRightInd w:val="0"/>
        <w:ind w:right="-320" w:rightChars="-100"/>
        <w:rPr>
          <w:rFonts w:hint="eastAsia" w:ascii="仿宋" w:hAnsi="仿宋" w:eastAsia="仿宋"/>
          <w:b/>
          <w:szCs w:val="32"/>
          <w:lang w:val="zh-CN"/>
        </w:rPr>
      </w:pPr>
    </w:p>
    <w:p>
      <w:pPr>
        <w:pStyle w:val="2"/>
        <w:ind w:leftChars="0" w:firstLine="640" w:firstLineChars="200"/>
        <w:rPr>
          <w:rFonts w:hint="eastAsia" w:ascii="黑体" w:hAnsi="黑体" w:cs="黑体"/>
          <w:szCs w:val="32"/>
        </w:rPr>
      </w:pPr>
      <w:bookmarkStart w:id="0" w:name="_Toc23076"/>
      <w:bookmarkStart w:id="1" w:name="_Toc10116"/>
      <w:bookmarkStart w:id="2" w:name="_Toc21623"/>
      <w:bookmarkStart w:id="3" w:name="_Toc10209"/>
      <w:r>
        <w:rPr>
          <w:rFonts w:hint="eastAsia"/>
          <w:bCs/>
        </w:rPr>
        <w:t>第一部分  襄阳市襄城区人民法院概况</w:t>
      </w:r>
      <w:bookmarkEnd w:id="0"/>
      <w:bookmarkEnd w:id="1"/>
      <w:bookmarkEnd w:id="2"/>
      <w:bookmarkEnd w:id="3"/>
    </w:p>
    <w:p>
      <w:pPr>
        <w:adjustRightInd w:val="0"/>
        <w:snapToGrid w:val="0"/>
        <w:spacing w:line="580" w:lineRule="atLeast"/>
        <w:ind w:firstLine="640" w:firstLineChars="200"/>
        <w:outlineLvl w:val="1"/>
        <w:rPr>
          <w:rFonts w:hint="eastAsia" w:ascii="黑体" w:hAnsi="黑体" w:eastAsia="黑体" w:cs="黑体"/>
          <w:bCs/>
          <w:szCs w:val="32"/>
        </w:rPr>
      </w:pPr>
      <w:bookmarkStart w:id="4" w:name="_Toc5570"/>
      <w:bookmarkStart w:id="5" w:name="_Toc8105"/>
      <w:bookmarkStart w:id="6" w:name="_Toc20532"/>
      <w:bookmarkStart w:id="7" w:name="_Toc6698"/>
      <w:r>
        <w:rPr>
          <w:rFonts w:hint="eastAsia" w:ascii="黑体" w:hAnsi="黑体" w:eastAsia="黑体" w:cs="黑体"/>
          <w:bCs/>
          <w:szCs w:val="32"/>
        </w:rPr>
        <w:t>一、单位主要职责</w:t>
      </w:r>
      <w:bookmarkEnd w:id="4"/>
      <w:bookmarkEnd w:id="5"/>
      <w:bookmarkEnd w:id="6"/>
      <w:bookmarkEnd w:id="7"/>
    </w:p>
    <w:p>
      <w:pPr>
        <w:pStyle w:val="12"/>
        <w:ind w:firstLineChars="200"/>
        <w:rPr>
          <w:szCs w:val="32"/>
        </w:rPr>
      </w:pPr>
      <w:r>
        <w:rPr>
          <w:rFonts w:hint="eastAsia" w:ascii="仿宋_GB2312" w:eastAsia="仿宋_GB2312" w:cs="Times New Roman"/>
          <w:szCs w:val="32"/>
        </w:rPr>
        <w:t>襄阳</w:t>
      </w:r>
      <w:r>
        <w:rPr>
          <w:rFonts w:hint="eastAsia" w:ascii="仿宋_GB2312" w:eastAsia="仿宋_GB2312" w:cs="Times New Roman"/>
          <w:szCs w:val="32"/>
          <w:lang w:eastAsia="zh-CN"/>
        </w:rPr>
        <w:t>市</w:t>
      </w:r>
      <w:r>
        <w:rPr>
          <w:rFonts w:hint="eastAsia" w:ascii="仿宋_GB2312" w:eastAsia="仿宋_GB2312" w:cs="Times New Roman"/>
          <w:szCs w:val="32"/>
        </w:rPr>
        <w:t>襄城区人民法院担负着审理襄城区各类刑事、民事、行政、执行案件以及化解涉诉信访和群体性事件的职能。部门工作重点是依法公正高效审理案件，加大执行工作力度，推进司法公开，为襄城区经济社会发展保驾护航。</w:t>
      </w:r>
    </w:p>
    <w:p>
      <w:pPr>
        <w:adjustRightInd w:val="0"/>
        <w:snapToGrid w:val="0"/>
        <w:spacing w:line="580" w:lineRule="atLeast"/>
        <w:ind w:firstLine="640" w:firstLineChars="200"/>
        <w:outlineLvl w:val="1"/>
        <w:rPr>
          <w:rFonts w:hint="eastAsia" w:ascii="黑体" w:hAnsi="黑体" w:eastAsia="黑体" w:cs="黑体"/>
          <w:bCs/>
          <w:szCs w:val="32"/>
        </w:rPr>
      </w:pPr>
      <w:r>
        <w:rPr>
          <w:rFonts w:hint="eastAsia" w:ascii="黑体" w:hAnsi="黑体" w:eastAsia="黑体" w:cs="黑体"/>
          <w:bCs/>
          <w:szCs w:val="32"/>
          <w:lang w:eastAsia="zh-CN"/>
        </w:rPr>
        <w:t>二、</w:t>
      </w:r>
      <w:r>
        <w:rPr>
          <w:rFonts w:hint="eastAsia" w:ascii="黑体" w:hAnsi="黑体" w:eastAsia="黑体" w:cs="黑体"/>
          <w:bCs/>
          <w:szCs w:val="32"/>
        </w:rPr>
        <w:t>机构设置情况</w:t>
      </w:r>
    </w:p>
    <w:p>
      <w:pPr>
        <w:pStyle w:val="12"/>
        <w:ind w:firstLineChars="200"/>
        <w:rPr>
          <w:rFonts w:hint="eastAsia" w:ascii="仿宋_GB2312" w:eastAsia="仿宋_GB2312" w:cs="Times New Roman"/>
          <w:szCs w:val="32"/>
        </w:rPr>
      </w:pPr>
      <w:r>
        <w:rPr>
          <w:rFonts w:hint="eastAsia" w:ascii="仿宋_GB2312" w:eastAsia="仿宋_GB2312" w:cs="Times New Roman"/>
          <w:szCs w:val="32"/>
        </w:rPr>
        <w:t>襄城区人民法院现设有政治部、综合办公室、刑庭、立案庭、民庭、综合审判庭、审判管理办公室、法警队、执行局共计</w:t>
      </w:r>
      <w:r>
        <w:rPr>
          <w:rFonts w:hint="eastAsia" w:ascii="仿宋_GB2312" w:eastAsia="仿宋_GB2312" w:cs="Times New Roman"/>
          <w:szCs w:val="32"/>
          <w:lang w:eastAsia="zh-CN"/>
        </w:rPr>
        <w:t>九</w:t>
      </w:r>
      <w:r>
        <w:rPr>
          <w:rFonts w:hint="eastAsia" w:ascii="仿宋_GB2312" w:eastAsia="仿宋_GB2312" w:cs="Times New Roman"/>
          <w:szCs w:val="32"/>
        </w:rPr>
        <w:t>个部门，以及檀溪、卧龙、庞公、欧庙四个派出法庭。</w:t>
      </w:r>
    </w:p>
    <w:p>
      <w:pPr>
        <w:pStyle w:val="2"/>
        <w:ind w:leftChars="0" w:firstLine="640" w:firstLineChars="200"/>
        <w:rPr>
          <w:rFonts w:hint="eastAsia"/>
        </w:rPr>
      </w:pPr>
      <w:bookmarkStart w:id="8" w:name="_Toc22131"/>
      <w:bookmarkStart w:id="9" w:name="_Toc18725"/>
      <w:bookmarkStart w:id="10" w:name="_Toc5763"/>
      <w:bookmarkStart w:id="11" w:name="_Toc21449"/>
      <w:r>
        <w:rPr>
          <w:rFonts w:hint="eastAsia"/>
        </w:rPr>
        <w:t>第</w:t>
      </w:r>
      <w:r>
        <w:rPr>
          <w:rFonts w:hint="eastAsia"/>
          <w:lang w:eastAsia="zh-CN"/>
        </w:rPr>
        <w:t>二</w:t>
      </w:r>
      <w:r>
        <w:rPr>
          <w:rFonts w:hint="eastAsia"/>
        </w:rPr>
        <w:t>部分  襄阳市襄城区人民法院</w:t>
      </w:r>
      <w:r>
        <w:rPr>
          <w:rFonts w:hint="eastAsia" w:ascii="黑体" w:hAnsi="黑体" w:cs="黑体"/>
        </w:rPr>
        <w:t>202</w:t>
      </w:r>
      <w:r>
        <w:rPr>
          <w:rFonts w:hint="eastAsia" w:ascii="黑体" w:hAnsi="黑体" w:cs="黑体"/>
          <w:lang w:val="en-US" w:eastAsia="zh-CN"/>
        </w:rPr>
        <w:t>1</w:t>
      </w:r>
      <w:r>
        <w:rPr>
          <w:rFonts w:hint="eastAsia"/>
        </w:rPr>
        <w:t>年度部门决算情况说明</w:t>
      </w:r>
      <w:bookmarkEnd w:id="8"/>
      <w:bookmarkEnd w:id="9"/>
      <w:bookmarkEnd w:id="10"/>
      <w:bookmarkEnd w:id="11"/>
    </w:p>
    <w:p>
      <w:pPr>
        <w:pStyle w:val="2"/>
        <w:ind w:left="640"/>
        <w:rPr>
          <w:rFonts w:hint="eastAsia"/>
        </w:rPr>
      </w:pPr>
      <w:bookmarkStart w:id="12" w:name="_Toc8475"/>
      <w:bookmarkStart w:id="13" w:name="_Toc9316"/>
      <w:bookmarkStart w:id="14" w:name="_Toc5731"/>
      <w:bookmarkStart w:id="15" w:name="_Toc14892"/>
      <w:r>
        <w:rPr>
          <w:rFonts w:hint="eastAsia" w:ascii="华文楷体" w:hAnsi="华文楷体" w:eastAsia="华文楷体" w:cs="黑体"/>
          <w:b/>
          <w:bCs/>
          <w:szCs w:val="32"/>
        </w:rPr>
        <w:t>一、收入支出决算总体情况说明</w:t>
      </w:r>
      <w:bookmarkEnd w:id="12"/>
      <w:bookmarkEnd w:id="13"/>
      <w:bookmarkEnd w:id="14"/>
      <w:bookmarkEnd w:id="15"/>
    </w:p>
    <w:p>
      <w:pPr>
        <w:autoSpaceDE w:val="0"/>
        <w:autoSpaceDN w:val="0"/>
        <w:adjustRightInd w:val="0"/>
        <w:spacing w:line="160" w:lineRule="atLeast"/>
        <w:ind w:left="-320" w:leftChars="-100" w:right="-320" w:rightChars="-100" w:firstLine="947" w:firstLineChars="296"/>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zh-CN" w:eastAsia="zh-CN" w:bidi="ar-SA"/>
        </w:rPr>
        <w:t>2021年度收入支出总</w:t>
      </w:r>
      <w:r>
        <w:rPr>
          <w:rFonts w:hint="eastAsia" w:ascii="仿宋_GB2312" w:hAnsi="仿宋" w:cs="Times New Roman"/>
          <w:kern w:val="2"/>
          <w:sz w:val="32"/>
          <w:szCs w:val="32"/>
          <w:lang w:val="zh-CN" w:eastAsia="zh-CN" w:bidi="ar-SA"/>
        </w:rPr>
        <w:t>计均为</w:t>
      </w:r>
      <w:r>
        <w:rPr>
          <w:rFonts w:hint="eastAsia" w:ascii="仿宋_GB2312" w:hAnsi="仿宋" w:eastAsia="仿宋_GB2312" w:cs="Times New Roman"/>
          <w:kern w:val="2"/>
          <w:sz w:val="32"/>
          <w:szCs w:val="32"/>
          <w:lang w:val="zh-CN" w:eastAsia="zh-CN" w:bidi="ar-SA"/>
        </w:rPr>
        <w:t>3537.47万元，比2020年度减少 706万元，下降16.6%。主要原因是</w:t>
      </w:r>
      <w:r>
        <w:rPr>
          <w:rFonts w:hint="eastAsia" w:ascii="仿宋_GB2312" w:hAnsi="仿宋" w:eastAsia="仿宋_GB2312" w:cs="Times New Roman"/>
          <w:kern w:val="2"/>
          <w:sz w:val="32"/>
          <w:szCs w:val="32"/>
          <w:lang w:val="en-US" w:eastAsia="zh-CN" w:bidi="ar-SA"/>
        </w:rPr>
        <w:t>2021年度信息化建设项目和</w:t>
      </w:r>
      <w:r>
        <w:rPr>
          <w:rFonts w:hint="eastAsia" w:ascii="仿宋_GB2312" w:hAnsi="仿宋" w:eastAsia="仿宋_GB2312" w:cs="Times New Roman"/>
          <w:kern w:val="2"/>
          <w:sz w:val="32"/>
          <w:szCs w:val="32"/>
          <w:lang w:val="zh-CN" w:eastAsia="zh-CN" w:bidi="ar-SA"/>
        </w:rPr>
        <w:t>“两庭”建设项目资金收入比</w:t>
      </w:r>
      <w:r>
        <w:rPr>
          <w:rFonts w:hint="eastAsia" w:ascii="仿宋_GB2312" w:hAnsi="仿宋" w:eastAsia="仿宋_GB2312" w:cs="Times New Roman"/>
          <w:kern w:val="2"/>
          <w:sz w:val="32"/>
          <w:szCs w:val="32"/>
          <w:lang w:val="en-US" w:eastAsia="zh-CN" w:bidi="ar-SA"/>
        </w:rPr>
        <w:t>2020年度减少。</w:t>
      </w:r>
    </w:p>
    <w:p>
      <w:pPr>
        <w:pStyle w:val="2"/>
        <w:numPr>
          <w:ilvl w:val="0"/>
          <w:numId w:val="1"/>
        </w:numPr>
        <w:ind w:left="640"/>
        <w:rPr>
          <w:rFonts w:hint="eastAsia" w:ascii="仿宋" w:hAnsi="仿宋" w:eastAsia="仿宋"/>
          <w:szCs w:val="32"/>
          <w:lang w:val="zh-CN"/>
        </w:rPr>
      </w:pPr>
      <w:r>
        <w:rPr>
          <w:rFonts w:hint="eastAsia" w:ascii="华文楷体" w:hAnsi="华文楷体" w:eastAsia="华文楷体" w:cs="黑体"/>
          <w:b/>
          <w:bCs/>
          <w:szCs w:val="32"/>
        </w:rPr>
        <w:t>收入决算情况说明</w:t>
      </w:r>
    </w:p>
    <w:p>
      <w:pPr>
        <w:autoSpaceDE w:val="0"/>
        <w:autoSpaceDN w:val="0"/>
        <w:adjustRightInd w:val="0"/>
        <w:spacing w:line="160" w:lineRule="atLeast"/>
        <w:ind w:left="-320" w:leftChars="-100" w:right="-320" w:rightChars="-100" w:firstLine="947" w:firstLineChars="296"/>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en-US" w:eastAsia="zh-CN" w:bidi="ar-SA"/>
        </w:rPr>
        <w:t>2021年度</w:t>
      </w:r>
      <w:r>
        <w:rPr>
          <w:rFonts w:hint="eastAsia" w:ascii="仿宋_GB2312" w:hAnsi="仿宋" w:eastAsia="仿宋_GB2312" w:cs="Times New Roman"/>
          <w:kern w:val="2"/>
          <w:sz w:val="32"/>
          <w:szCs w:val="32"/>
          <w:lang w:val="zh-CN" w:eastAsia="zh-CN" w:bidi="ar-SA"/>
        </w:rPr>
        <w:t>收入总计3537.47万元，具体包括：</w:t>
      </w:r>
    </w:p>
    <w:p>
      <w:pPr>
        <w:autoSpaceDE w:val="0"/>
        <w:autoSpaceDN w:val="0"/>
        <w:adjustRightInd w:val="0"/>
        <w:spacing w:line="160" w:lineRule="atLeast"/>
        <w:ind w:left="-320" w:leftChars="-100" w:right="-320" w:rightChars="-100" w:firstLine="947" w:firstLineChars="296"/>
        <w:rPr>
          <w:rFonts w:hint="eastAsia" w:ascii="仿宋_GB2312" w:hAnsi="仿宋" w:eastAsia="仿宋_GB2312" w:cs="Times New Roman"/>
          <w:kern w:val="2"/>
          <w:sz w:val="32"/>
          <w:szCs w:val="32"/>
          <w:lang w:val="zh-CN" w:eastAsia="zh-CN" w:bidi="ar-SA"/>
        </w:rPr>
      </w:pPr>
      <w:r>
        <w:rPr>
          <w:rFonts w:hint="eastAsia" w:ascii="仿宋_GB2312" w:hAnsi="仿宋" w:cs="Times New Roman"/>
          <w:kern w:val="2"/>
          <w:sz w:val="32"/>
          <w:szCs w:val="32"/>
          <w:lang w:val="en-US" w:eastAsia="zh-CN" w:bidi="ar-SA"/>
        </w:rPr>
        <w:t>（一）</w:t>
      </w:r>
      <w:r>
        <w:rPr>
          <w:rFonts w:hint="eastAsia" w:ascii="仿宋_GB2312" w:hAnsi="仿宋" w:eastAsia="仿宋_GB2312" w:cs="Times New Roman"/>
          <w:kern w:val="2"/>
          <w:sz w:val="32"/>
          <w:szCs w:val="32"/>
          <w:lang w:val="zh-CN" w:eastAsia="zh-CN" w:bidi="ar-SA"/>
        </w:rPr>
        <w:t xml:space="preserve">财政拨款收入2638.44万元，比2020年度减少230.04万元，下降8%，收入下降的主要原因是2020年度结转了上年度大量的信息化建设项目经费，而2021年度信息化建设经费较少，财政拨款收入下降。 </w:t>
      </w:r>
    </w:p>
    <w:p>
      <w:pPr>
        <w:autoSpaceDE w:val="0"/>
        <w:autoSpaceDN w:val="0"/>
        <w:adjustRightInd w:val="0"/>
        <w:spacing w:line="160" w:lineRule="atLeast"/>
        <w:ind w:left="-320" w:leftChars="-100" w:right="-320" w:rightChars="-100" w:firstLine="947" w:firstLineChars="296"/>
        <w:rPr>
          <w:rFonts w:hint="eastAsia" w:ascii="仿宋_GB2312" w:hAnsi="仿宋" w:eastAsia="仿宋_GB2312" w:cs="Times New Roman"/>
          <w:kern w:val="2"/>
          <w:sz w:val="32"/>
          <w:szCs w:val="32"/>
          <w:lang w:val="zh-CN" w:eastAsia="zh-CN" w:bidi="ar-SA"/>
        </w:rPr>
      </w:pPr>
      <w:r>
        <w:rPr>
          <w:rFonts w:hint="eastAsia" w:ascii="仿宋_GB2312" w:hAnsi="仿宋" w:cs="Times New Roman"/>
          <w:kern w:val="2"/>
          <w:sz w:val="32"/>
          <w:szCs w:val="32"/>
          <w:lang w:val="en-US" w:eastAsia="zh-CN" w:bidi="ar-SA"/>
        </w:rPr>
        <w:t>（二）</w:t>
      </w:r>
      <w:r>
        <w:rPr>
          <w:rFonts w:hint="eastAsia" w:ascii="仿宋_GB2312" w:hAnsi="仿宋" w:eastAsia="仿宋_GB2312" w:cs="Times New Roman"/>
          <w:kern w:val="2"/>
          <w:sz w:val="32"/>
          <w:szCs w:val="32"/>
          <w:lang w:val="zh-CN" w:eastAsia="zh-CN" w:bidi="ar-SA"/>
        </w:rPr>
        <w:t>其他收入837.83万元，比2020年度减少269.53万元，下降24.3%，下降的主要原因是2021年度地方财政拨付的“两庭”建设项目资金少于2020年度，因此其他收入比上年下降。</w:t>
      </w:r>
    </w:p>
    <w:p>
      <w:pPr>
        <w:autoSpaceDE w:val="0"/>
        <w:autoSpaceDN w:val="0"/>
        <w:adjustRightInd w:val="0"/>
        <w:spacing w:line="160" w:lineRule="atLeast"/>
        <w:ind w:left="-320" w:leftChars="-100" w:right="-320" w:rightChars="-100" w:firstLine="947" w:firstLineChars="296"/>
        <w:rPr>
          <w:rFonts w:hint="eastAsia" w:ascii="仿宋_GB2312" w:hAnsi="仿宋" w:eastAsia="仿宋_GB2312" w:cs="Times New Roman"/>
          <w:kern w:val="2"/>
          <w:sz w:val="32"/>
          <w:szCs w:val="32"/>
          <w:lang w:val="zh-CN" w:eastAsia="zh-CN" w:bidi="ar-SA"/>
        </w:rPr>
      </w:pPr>
      <w:r>
        <w:rPr>
          <w:rFonts w:hint="eastAsia" w:ascii="仿宋_GB2312" w:hAnsi="仿宋" w:cs="Times New Roman"/>
          <w:kern w:val="2"/>
          <w:sz w:val="32"/>
          <w:szCs w:val="32"/>
          <w:lang w:val="en-US" w:eastAsia="zh-CN" w:bidi="ar-SA"/>
        </w:rPr>
        <w:t>（三）</w:t>
      </w:r>
      <w:r>
        <w:rPr>
          <w:rFonts w:hint="eastAsia" w:ascii="仿宋_GB2312" w:hAnsi="仿宋" w:eastAsia="仿宋_GB2312" w:cs="Times New Roman"/>
          <w:kern w:val="2"/>
          <w:sz w:val="32"/>
          <w:szCs w:val="32"/>
          <w:lang w:val="zh-CN" w:eastAsia="zh-CN" w:bidi="ar-SA"/>
        </w:rPr>
        <w:t>年初结转和结余61.2万元。为以前年度支出预算按有关规定继续结转使用的其他收入结转和结余资金。</w:t>
      </w:r>
    </w:p>
    <w:p>
      <w:pPr>
        <w:pStyle w:val="2"/>
        <w:ind w:left="640"/>
        <w:rPr>
          <w:rFonts w:hint="eastAsia" w:ascii="华文楷体" w:hAnsi="华文楷体" w:eastAsia="华文楷体" w:cs="黑体"/>
          <w:b/>
          <w:bCs/>
          <w:szCs w:val="32"/>
          <w:lang w:eastAsia="zh-CN"/>
        </w:rPr>
      </w:pPr>
      <w:r>
        <w:rPr>
          <w:rFonts w:hint="eastAsia" w:ascii="华文楷体" w:hAnsi="华文楷体" w:eastAsia="华文楷体" w:cs="黑体"/>
          <w:b/>
          <w:bCs/>
          <w:szCs w:val="32"/>
          <w:lang w:eastAsia="zh-CN"/>
        </w:rPr>
        <w:t>三</w:t>
      </w:r>
      <w:r>
        <w:rPr>
          <w:rFonts w:hint="eastAsia" w:ascii="华文楷体" w:hAnsi="华文楷体" w:eastAsia="华文楷体" w:cs="黑体"/>
          <w:b/>
          <w:bCs/>
          <w:szCs w:val="32"/>
        </w:rPr>
        <w:t>、</w:t>
      </w:r>
      <w:r>
        <w:rPr>
          <w:rFonts w:hint="eastAsia" w:ascii="华文楷体" w:hAnsi="华文楷体" w:eastAsia="华文楷体" w:cs="黑体"/>
          <w:b/>
          <w:bCs/>
          <w:szCs w:val="32"/>
          <w:lang w:eastAsia="zh-CN"/>
        </w:rPr>
        <w:t>支出决算情况说明</w:t>
      </w:r>
    </w:p>
    <w:p>
      <w:pPr>
        <w:autoSpaceDE w:val="0"/>
        <w:autoSpaceDN w:val="0"/>
        <w:adjustRightInd w:val="0"/>
        <w:spacing w:line="160" w:lineRule="atLeast"/>
        <w:ind w:left="-320" w:leftChars="-100" w:right="-320" w:rightChars="-100" w:firstLine="947" w:firstLineChars="296"/>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en-US" w:eastAsia="zh-CN" w:bidi="ar-SA"/>
        </w:rPr>
        <w:t>2021年度</w:t>
      </w:r>
      <w:r>
        <w:rPr>
          <w:rFonts w:hint="eastAsia" w:ascii="仿宋_GB2312" w:hAnsi="仿宋" w:eastAsia="仿宋_GB2312" w:cs="Times New Roman"/>
          <w:kern w:val="2"/>
          <w:sz w:val="32"/>
          <w:szCs w:val="32"/>
          <w:lang w:val="zh-CN" w:eastAsia="zh-CN" w:bidi="ar-SA"/>
        </w:rPr>
        <w:t>支出总计3537.47万元，具体包括：</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cs="Times New Roman"/>
          <w:kern w:val="2"/>
          <w:sz w:val="32"/>
          <w:szCs w:val="32"/>
          <w:lang w:val="en-US" w:eastAsia="zh-CN" w:bidi="ar-SA"/>
        </w:rPr>
        <w:t>（一）</w:t>
      </w:r>
      <w:r>
        <w:rPr>
          <w:rFonts w:hint="eastAsia" w:ascii="仿宋_GB2312" w:hAnsi="仿宋" w:eastAsia="仿宋_GB2312" w:cs="Times New Roman"/>
          <w:kern w:val="2"/>
          <w:sz w:val="32"/>
          <w:szCs w:val="32"/>
          <w:lang w:val="zh-CN" w:eastAsia="zh-CN" w:bidi="ar-SA"/>
        </w:rPr>
        <w:t>本年支出合计3444.22万元，比2020年度减少738.05万元，下降17.6%，下降的主要原因</w:t>
      </w:r>
      <w:r>
        <w:rPr>
          <w:rFonts w:hint="eastAsia" w:ascii="仿宋_GB2312" w:hAnsi="仿宋" w:eastAsia="仿宋_GB2312" w:cs="Times New Roman"/>
          <w:kern w:val="2"/>
          <w:sz w:val="32"/>
          <w:szCs w:val="32"/>
          <w:lang w:val="en-US" w:eastAsia="zh-CN" w:bidi="ar-SA"/>
        </w:rPr>
        <w:t>是</w:t>
      </w:r>
      <w:r>
        <w:rPr>
          <w:rFonts w:hint="eastAsia" w:ascii="仿宋_GB2312" w:hAnsi="仿宋" w:eastAsia="仿宋_GB2312" w:cs="Times New Roman"/>
          <w:kern w:val="2"/>
          <w:sz w:val="32"/>
          <w:szCs w:val="32"/>
          <w:lang w:val="zh-CN" w:eastAsia="zh-CN" w:bidi="ar-SA"/>
        </w:rPr>
        <w:t>“</w:t>
      </w:r>
      <w:r>
        <w:rPr>
          <w:rFonts w:hint="eastAsia" w:ascii="仿宋_GB2312" w:hAnsi="仿宋" w:eastAsia="仿宋_GB2312" w:cs="Times New Roman"/>
          <w:kern w:val="2"/>
          <w:sz w:val="32"/>
          <w:szCs w:val="32"/>
          <w:lang w:val="en-US" w:eastAsia="zh-CN" w:bidi="ar-SA"/>
        </w:rPr>
        <w:t>两庭</w:t>
      </w:r>
      <w:r>
        <w:rPr>
          <w:rFonts w:hint="eastAsia" w:ascii="仿宋_GB2312" w:hAnsi="仿宋" w:eastAsia="仿宋_GB2312" w:cs="Times New Roman"/>
          <w:kern w:val="2"/>
          <w:sz w:val="32"/>
          <w:szCs w:val="32"/>
          <w:lang w:val="zh-CN" w:eastAsia="zh-CN" w:bidi="ar-SA"/>
        </w:rPr>
        <w:t>”</w:t>
      </w:r>
      <w:r>
        <w:rPr>
          <w:rFonts w:hint="eastAsia" w:ascii="仿宋_GB2312" w:hAnsi="仿宋" w:eastAsia="仿宋_GB2312" w:cs="Times New Roman"/>
          <w:kern w:val="2"/>
          <w:sz w:val="32"/>
          <w:szCs w:val="32"/>
          <w:lang w:val="en-US" w:eastAsia="zh-CN" w:bidi="ar-SA"/>
        </w:rPr>
        <w:t>建设项目支出和信息化建设项目支出金额比上年减少。其中：公共安全支出3323.85万元，占比96.5%；社会保障和就业支出120.37万元，占比3.5%。</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 w:hAnsi="仿宋" w:eastAsia="仿宋"/>
          <w:szCs w:val="32"/>
          <w:lang w:val="zh-CN"/>
        </w:rPr>
      </w:pPr>
      <w:r>
        <w:rPr>
          <w:rFonts w:hint="eastAsia" w:ascii="仿宋_GB2312" w:hAnsi="仿宋" w:cs="Times New Roman"/>
          <w:kern w:val="2"/>
          <w:sz w:val="32"/>
          <w:szCs w:val="32"/>
          <w:lang w:val="en-US" w:eastAsia="zh-CN" w:bidi="ar-SA"/>
        </w:rPr>
        <w:t>（二）</w:t>
      </w:r>
      <w:r>
        <w:rPr>
          <w:rFonts w:hint="eastAsia" w:ascii="仿宋_GB2312" w:hAnsi="仿宋" w:eastAsia="仿宋_GB2312" w:cs="Times New Roman"/>
          <w:kern w:val="2"/>
          <w:sz w:val="32"/>
          <w:szCs w:val="32"/>
          <w:lang w:val="zh-CN" w:eastAsia="zh-CN" w:bidi="ar-SA"/>
        </w:rPr>
        <w:t>年末结转和结余93.25万元。为当年或以前年度支出预算按有关规定结转继续使用的其他收入结转和结余资金。</w:t>
      </w:r>
    </w:p>
    <w:p>
      <w:pPr>
        <w:pStyle w:val="2"/>
        <w:ind w:left="640"/>
        <w:rPr>
          <w:rFonts w:hint="eastAsia" w:ascii="华文楷体" w:hAnsi="华文楷体" w:eastAsia="华文楷体" w:cs="黑体"/>
          <w:b/>
          <w:bCs/>
          <w:szCs w:val="32"/>
          <w:lang w:val="zh-CN"/>
        </w:rPr>
      </w:pPr>
      <w:r>
        <w:rPr>
          <w:rFonts w:hint="eastAsia" w:ascii="华文楷体" w:hAnsi="华文楷体" w:eastAsia="华文楷体" w:cs="黑体"/>
          <w:b/>
          <w:bCs/>
          <w:szCs w:val="32"/>
          <w:lang w:val="zh-CN"/>
        </w:rPr>
        <w:t>四、财政拨款收入支出决算总体情况说明</w:t>
      </w:r>
    </w:p>
    <w:p>
      <w:pPr>
        <w:autoSpaceDE w:val="0"/>
        <w:autoSpaceDN w:val="0"/>
        <w:adjustRightInd w:val="0"/>
        <w:spacing w:line="160" w:lineRule="atLeast"/>
        <w:ind w:left="-320" w:leftChars="-100" w:right="-320" w:rightChars="-100" w:firstLine="947" w:firstLineChars="296"/>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zh-CN" w:eastAsia="zh-CN" w:bidi="ar-SA"/>
        </w:rPr>
        <w:t>2021年度法院财政拨款收入支出总</w:t>
      </w:r>
      <w:r>
        <w:rPr>
          <w:rFonts w:hint="eastAsia" w:ascii="仿宋_GB2312" w:hAnsi="仿宋" w:cs="Times New Roman"/>
          <w:kern w:val="2"/>
          <w:sz w:val="32"/>
          <w:szCs w:val="32"/>
          <w:lang w:val="zh-CN" w:eastAsia="zh-CN" w:bidi="ar-SA"/>
        </w:rPr>
        <w:t>计均为</w:t>
      </w:r>
      <w:r>
        <w:rPr>
          <w:rFonts w:hint="eastAsia" w:ascii="仿宋_GB2312" w:hAnsi="仿宋" w:eastAsia="仿宋_GB2312" w:cs="Times New Roman"/>
          <w:kern w:val="2"/>
          <w:sz w:val="32"/>
          <w:szCs w:val="32"/>
          <w:lang w:val="zh-CN" w:eastAsia="zh-CN" w:bidi="ar-SA"/>
        </w:rPr>
        <w:t>2638.44万元，比2020年度减少230.04万元，下降8%。下降的主要原因是信息化建设项目金资金比上年减少。</w:t>
      </w:r>
    </w:p>
    <w:p>
      <w:pPr>
        <w:autoSpaceDE w:val="0"/>
        <w:autoSpaceDN w:val="0"/>
        <w:adjustRightInd w:val="0"/>
        <w:spacing w:line="160" w:lineRule="atLeast"/>
        <w:ind w:right="-320" w:rightChars="-100" w:firstLine="320" w:firstLineChars="100"/>
        <w:jc w:val="left"/>
        <w:rPr>
          <w:rFonts w:hint="eastAsia" w:ascii="仿宋_GB2312" w:hAnsi="仿宋" w:eastAsia="仿宋_GB2312" w:cs="Times New Roman"/>
          <w:kern w:val="2"/>
          <w:sz w:val="32"/>
          <w:szCs w:val="32"/>
          <w:lang w:val="zh-CN" w:eastAsia="zh-CN" w:bidi="ar-SA"/>
        </w:rPr>
      </w:pPr>
      <w:r>
        <w:rPr>
          <w:rFonts w:hint="eastAsia" w:ascii="仿宋_GB2312" w:hAnsi="仿宋" w:cs="Times New Roman"/>
          <w:kern w:val="2"/>
          <w:sz w:val="32"/>
          <w:szCs w:val="32"/>
          <w:lang w:val="zh-CN" w:eastAsia="zh-CN" w:bidi="ar-SA"/>
        </w:rPr>
        <w:t>（一）</w:t>
      </w:r>
      <w:r>
        <w:rPr>
          <w:rFonts w:hint="eastAsia" w:ascii="仿宋_GB2312" w:hAnsi="仿宋" w:eastAsia="仿宋_GB2312" w:cs="Times New Roman"/>
          <w:kern w:val="2"/>
          <w:sz w:val="32"/>
          <w:szCs w:val="32"/>
          <w:lang w:val="zh-CN" w:eastAsia="zh-CN" w:bidi="ar-SA"/>
        </w:rPr>
        <w:t>财政拨款收入总计2638.44万元，具体包括：</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zh-CN" w:eastAsia="zh-CN" w:bidi="ar-SA"/>
        </w:rPr>
        <w:t>一般公共预算财政拨款2638.44万元，比2020年度减少230.04万元，下降8%</w:t>
      </w:r>
      <w:r>
        <w:rPr>
          <w:rFonts w:hint="eastAsia" w:ascii="仿宋_GB2312" w:hAnsi="仿宋" w:eastAsia="仿宋_GB2312" w:cs="Times New Roman"/>
          <w:kern w:val="2"/>
          <w:sz w:val="32"/>
          <w:szCs w:val="32"/>
          <w:lang w:val="en-US" w:eastAsia="zh-CN" w:bidi="ar-SA"/>
        </w:rPr>
        <w:t>。</w:t>
      </w:r>
      <w:r>
        <w:rPr>
          <w:rFonts w:hint="eastAsia" w:ascii="仿宋_GB2312" w:hAnsi="仿宋" w:eastAsia="仿宋_GB2312" w:cs="Times New Roman"/>
          <w:kern w:val="2"/>
          <w:sz w:val="32"/>
          <w:szCs w:val="32"/>
          <w:lang w:val="zh-CN" w:eastAsia="zh-CN" w:bidi="ar-SA"/>
        </w:rPr>
        <w:t>下降的主要原因是信息化建设项目金资金</w:t>
      </w:r>
      <w:r>
        <w:rPr>
          <w:rFonts w:hint="eastAsia" w:ascii="仿宋_GB2312" w:hAnsi="仿宋" w:cs="Times New Roman"/>
          <w:kern w:val="2"/>
          <w:sz w:val="32"/>
          <w:szCs w:val="32"/>
          <w:lang w:val="zh-CN" w:eastAsia="zh-CN" w:bidi="ar-SA"/>
        </w:rPr>
        <w:t>收入</w:t>
      </w:r>
      <w:r>
        <w:rPr>
          <w:rFonts w:hint="eastAsia" w:ascii="仿宋_GB2312" w:hAnsi="仿宋" w:eastAsia="仿宋_GB2312" w:cs="Times New Roman"/>
          <w:kern w:val="2"/>
          <w:sz w:val="32"/>
          <w:szCs w:val="32"/>
          <w:lang w:val="zh-CN" w:eastAsia="zh-CN" w:bidi="ar-SA"/>
        </w:rPr>
        <w:t>比上年减少。</w:t>
      </w:r>
    </w:p>
    <w:p>
      <w:pPr>
        <w:autoSpaceDE w:val="0"/>
        <w:autoSpaceDN w:val="0"/>
        <w:adjustRightInd w:val="0"/>
        <w:spacing w:line="160" w:lineRule="atLeast"/>
        <w:ind w:left="-320" w:leftChars="-100" w:right="-320" w:rightChars="-100" w:firstLine="947" w:firstLineChars="296"/>
        <w:rPr>
          <w:rFonts w:hint="eastAsia" w:ascii="仿宋_GB2312" w:hAnsi="仿宋" w:eastAsia="仿宋_GB2312" w:cs="Times New Roman"/>
          <w:kern w:val="2"/>
          <w:sz w:val="32"/>
          <w:szCs w:val="32"/>
          <w:lang w:val="zh-CN" w:eastAsia="zh-CN" w:bidi="ar-SA"/>
        </w:rPr>
      </w:pPr>
      <w:r>
        <w:rPr>
          <w:rFonts w:hint="eastAsia" w:ascii="仿宋_GB2312" w:hAnsi="仿宋" w:cs="Times New Roman"/>
          <w:kern w:val="2"/>
          <w:sz w:val="32"/>
          <w:szCs w:val="32"/>
          <w:lang w:val="zh-CN" w:eastAsia="zh-CN" w:bidi="ar-SA"/>
        </w:rPr>
        <w:t>（二）</w:t>
      </w:r>
      <w:r>
        <w:rPr>
          <w:rFonts w:hint="eastAsia" w:ascii="仿宋_GB2312" w:hAnsi="仿宋" w:eastAsia="仿宋_GB2312" w:cs="Times New Roman"/>
          <w:kern w:val="2"/>
          <w:sz w:val="32"/>
          <w:szCs w:val="32"/>
          <w:lang w:val="zh-CN" w:eastAsia="zh-CN" w:bidi="ar-SA"/>
        </w:rPr>
        <w:t>财政拨款支出总计2638.44万元，具体包括：</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eastAsia="仿宋_GB2312" w:cs="Times New Roman"/>
          <w:kern w:val="2"/>
          <w:sz w:val="32"/>
          <w:szCs w:val="32"/>
          <w:lang w:val="en-US" w:eastAsia="zh-CN" w:bidi="ar-SA"/>
        </w:rPr>
      </w:pPr>
      <w:r>
        <w:rPr>
          <w:rFonts w:hint="eastAsia" w:ascii="仿宋_GB2312" w:hAnsi="仿宋" w:eastAsia="仿宋_GB2312" w:cs="Times New Roman"/>
          <w:kern w:val="2"/>
          <w:sz w:val="32"/>
          <w:szCs w:val="32"/>
          <w:lang w:val="zh-CN" w:eastAsia="zh-CN" w:bidi="ar-SA"/>
        </w:rPr>
        <w:t>本年财政拨款支出2638.44万元，比2020年度减少230.04万元，下降8%</w:t>
      </w:r>
      <w:r>
        <w:rPr>
          <w:rFonts w:hint="eastAsia" w:ascii="仿宋_GB2312" w:hAnsi="仿宋" w:eastAsia="仿宋_GB2312" w:cs="Times New Roman"/>
          <w:kern w:val="2"/>
          <w:sz w:val="32"/>
          <w:szCs w:val="32"/>
          <w:lang w:val="en-US" w:eastAsia="zh-CN" w:bidi="ar-SA"/>
        </w:rPr>
        <w:t>。下</w:t>
      </w:r>
      <w:r>
        <w:rPr>
          <w:rFonts w:hint="eastAsia" w:ascii="仿宋_GB2312" w:hAnsi="仿宋" w:eastAsia="仿宋_GB2312" w:cs="Times New Roman"/>
          <w:kern w:val="2"/>
          <w:sz w:val="32"/>
          <w:szCs w:val="32"/>
          <w:lang w:val="zh-CN" w:eastAsia="zh-CN" w:bidi="ar-SA"/>
        </w:rPr>
        <w:t>降的主要原因是信息化建设项目支出金额比上年减少。本年财政拨款支出比年初预算增加</w:t>
      </w:r>
      <w:r>
        <w:rPr>
          <w:rFonts w:hint="eastAsia" w:ascii="仿宋_GB2312" w:hAnsi="仿宋" w:eastAsia="仿宋_GB2312" w:cs="Times New Roman"/>
          <w:kern w:val="2"/>
          <w:sz w:val="32"/>
          <w:szCs w:val="32"/>
          <w:lang w:val="en-US" w:eastAsia="zh-CN" w:bidi="ar-SA"/>
        </w:rPr>
        <w:t>197.94</w:t>
      </w:r>
      <w:r>
        <w:rPr>
          <w:rFonts w:hint="eastAsia" w:ascii="仿宋_GB2312" w:hAnsi="仿宋" w:eastAsia="仿宋_GB2312" w:cs="Times New Roman"/>
          <w:kern w:val="2"/>
          <w:sz w:val="32"/>
          <w:szCs w:val="32"/>
          <w:lang w:val="zh-CN" w:eastAsia="zh-CN" w:bidi="ar-SA"/>
        </w:rPr>
        <w:t>万元，增长</w:t>
      </w:r>
      <w:r>
        <w:rPr>
          <w:rFonts w:hint="eastAsia" w:ascii="仿宋_GB2312" w:hAnsi="仿宋" w:eastAsia="仿宋_GB2312" w:cs="Times New Roman"/>
          <w:kern w:val="2"/>
          <w:sz w:val="32"/>
          <w:szCs w:val="32"/>
          <w:lang w:val="en-US" w:eastAsia="zh-CN" w:bidi="ar-SA"/>
        </w:rPr>
        <w:t>8.1</w:t>
      </w:r>
      <w:r>
        <w:rPr>
          <w:rFonts w:hint="eastAsia" w:ascii="仿宋_GB2312" w:hAnsi="仿宋" w:eastAsia="仿宋_GB2312" w:cs="Times New Roman"/>
          <w:kern w:val="2"/>
          <w:sz w:val="32"/>
          <w:szCs w:val="32"/>
          <w:lang w:val="zh-CN" w:eastAsia="zh-CN" w:bidi="ar-SA"/>
        </w:rPr>
        <w:t>%，增长的主要原因一是法院绩效考核资金年初预算编报40%，剩下的60%部分以预算追加的形式下达；二是年中预算追加下达了特定项目经费。</w:t>
      </w:r>
    </w:p>
    <w:p>
      <w:pPr>
        <w:pStyle w:val="2"/>
        <w:ind w:left="640"/>
        <w:rPr>
          <w:rFonts w:hint="eastAsia" w:ascii="华文楷体" w:hAnsi="华文楷体" w:eastAsia="华文楷体" w:cs="黑体"/>
          <w:b/>
          <w:bCs/>
          <w:szCs w:val="32"/>
          <w:lang w:val="zh-CN"/>
        </w:rPr>
      </w:pPr>
      <w:bookmarkStart w:id="16" w:name="_Toc23082"/>
      <w:bookmarkStart w:id="17" w:name="_Toc28199"/>
      <w:bookmarkStart w:id="18" w:name="_Toc29687"/>
      <w:r>
        <w:rPr>
          <w:rFonts w:hint="eastAsia" w:ascii="华文楷体" w:hAnsi="华文楷体" w:eastAsia="华文楷体" w:cs="黑体"/>
          <w:b/>
          <w:bCs/>
          <w:szCs w:val="32"/>
          <w:lang w:val="zh-CN" w:eastAsia="zh-CN"/>
        </w:rPr>
        <w:t>五、</w:t>
      </w:r>
      <w:r>
        <w:rPr>
          <w:rFonts w:hint="eastAsia" w:ascii="华文楷体" w:hAnsi="华文楷体" w:eastAsia="华文楷体" w:cs="黑体"/>
          <w:b/>
          <w:bCs/>
          <w:szCs w:val="32"/>
          <w:lang w:val="zh-CN"/>
        </w:rPr>
        <w:t>一般公共预算财政拨款支出决算情况说明</w:t>
      </w:r>
      <w:bookmarkEnd w:id="16"/>
      <w:bookmarkEnd w:id="17"/>
      <w:bookmarkEnd w:id="18"/>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en-US" w:eastAsia="zh-CN" w:bidi="ar-SA"/>
        </w:rPr>
        <w:t>（一）</w:t>
      </w:r>
      <w:r>
        <w:rPr>
          <w:rFonts w:hint="eastAsia" w:ascii="仿宋_GB2312" w:hAnsi="仿宋" w:cs="Times New Roman"/>
          <w:kern w:val="2"/>
          <w:sz w:val="32"/>
          <w:szCs w:val="32"/>
          <w:lang w:val="zh-CN" w:eastAsia="zh-CN" w:bidi="ar-SA"/>
        </w:rPr>
        <w:t>一般公共预算财政拨款支出决算总体情况</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202</w:t>
      </w:r>
      <w:r>
        <w:rPr>
          <w:rFonts w:hint="eastAsia" w:ascii="仿宋_GB2312" w:hAnsi="仿宋" w:cs="Times New Roman"/>
          <w:kern w:val="2"/>
          <w:sz w:val="32"/>
          <w:szCs w:val="32"/>
          <w:lang w:val="en-US" w:eastAsia="zh-CN" w:bidi="ar-SA"/>
        </w:rPr>
        <w:t>1</w:t>
      </w:r>
      <w:r>
        <w:rPr>
          <w:rFonts w:hint="eastAsia" w:ascii="仿宋_GB2312" w:hAnsi="仿宋" w:cs="Times New Roman"/>
          <w:kern w:val="2"/>
          <w:sz w:val="32"/>
          <w:szCs w:val="32"/>
          <w:lang w:val="zh-CN" w:eastAsia="zh-CN" w:bidi="ar-SA"/>
        </w:rPr>
        <w:t>年度一般公共预算财政拨款支出</w:t>
      </w:r>
      <w:r>
        <w:rPr>
          <w:rFonts w:hint="eastAsia" w:ascii="仿宋_GB2312" w:hAnsi="仿宋" w:cs="Times New Roman"/>
          <w:kern w:val="2"/>
          <w:sz w:val="32"/>
          <w:szCs w:val="32"/>
          <w:lang w:val="en-US" w:eastAsia="zh-CN" w:bidi="ar-SA"/>
        </w:rPr>
        <w:t>2638.44</w:t>
      </w:r>
      <w:r>
        <w:rPr>
          <w:rFonts w:hint="eastAsia" w:ascii="仿宋_GB2312" w:hAnsi="仿宋" w:cs="Times New Roman"/>
          <w:kern w:val="2"/>
          <w:sz w:val="32"/>
          <w:szCs w:val="32"/>
          <w:lang w:val="zh-CN" w:eastAsia="zh-CN" w:bidi="ar-SA"/>
        </w:rPr>
        <w:t>万元，占本年支出合计的</w:t>
      </w:r>
      <w:r>
        <w:rPr>
          <w:rFonts w:hint="eastAsia" w:ascii="仿宋_GB2312" w:hAnsi="仿宋" w:cs="Times New Roman"/>
          <w:kern w:val="2"/>
          <w:sz w:val="32"/>
          <w:szCs w:val="32"/>
          <w:lang w:val="en-US" w:eastAsia="zh-CN" w:bidi="ar-SA"/>
        </w:rPr>
        <w:t>76.6</w:t>
      </w:r>
      <w:r>
        <w:rPr>
          <w:rFonts w:hint="eastAsia" w:ascii="仿宋_GB2312" w:hAnsi="仿宋" w:cs="Times New Roman"/>
          <w:kern w:val="2"/>
          <w:sz w:val="32"/>
          <w:szCs w:val="32"/>
          <w:lang w:val="zh-CN" w:eastAsia="zh-CN" w:bidi="ar-SA"/>
        </w:rPr>
        <w:t>%。与202</w:t>
      </w:r>
      <w:r>
        <w:rPr>
          <w:rFonts w:hint="eastAsia" w:ascii="仿宋_GB2312" w:hAnsi="仿宋" w:cs="Times New Roman"/>
          <w:kern w:val="2"/>
          <w:sz w:val="32"/>
          <w:szCs w:val="32"/>
          <w:lang w:val="en-US" w:eastAsia="zh-CN" w:bidi="ar-SA"/>
        </w:rPr>
        <w:t>0</w:t>
      </w:r>
      <w:r>
        <w:rPr>
          <w:rFonts w:hint="eastAsia" w:ascii="仿宋_GB2312" w:hAnsi="仿宋" w:cs="Times New Roman"/>
          <w:kern w:val="2"/>
          <w:sz w:val="32"/>
          <w:szCs w:val="32"/>
          <w:lang w:val="zh-CN" w:eastAsia="zh-CN" w:bidi="ar-SA"/>
        </w:rPr>
        <w:t>年度相比，一般公共预算财政拨款支出减少230.04万元，下降8%。下降的主要原因是信息化建设项目支出金额比上年减少。</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en-US" w:eastAsia="zh-CN" w:bidi="ar-SA"/>
        </w:rPr>
        <w:t>（二）</w:t>
      </w:r>
      <w:r>
        <w:rPr>
          <w:rFonts w:hint="eastAsia" w:ascii="仿宋_GB2312" w:hAnsi="仿宋" w:cs="Times New Roman"/>
          <w:kern w:val="2"/>
          <w:sz w:val="32"/>
          <w:szCs w:val="32"/>
          <w:lang w:val="zh-CN" w:eastAsia="zh-CN" w:bidi="ar-SA"/>
        </w:rPr>
        <w:t>一般公共预算财政拨款支出决算结构情况</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202</w:t>
      </w:r>
      <w:r>
        <w:rPr>
          <w:rFonts w:hint="eastAsia" w:ascii="仿宋_GB2312" w:hAnsi="仿宋" w:cs="Times New Roman"/>
          <w:kern w:val="2"/>
          <w:sz w:val="32"/>
          <w:szCs w:val="32"/>
          <w:lang w:val="en-US" w:eastAsia="zh-CN" w:bidi="ar-SA"/>
        </w:rPr>
        <w:t>1</w:t>
      </w:r>
      <w:r>
        <w:rPr>
          <w:rFonts w:hint="eastAsia" w:ascii="仿宋_GB2312" w:hAnsi="仿宋" w:cs="Times New Roman"/>
          <w:kern w:val="2"/>
          <w:sz w:val="32"/>
          <w:szCs w:val="32"/>
          <w:lang w:val="zh-CN" w:eastAsia="zh-CN" w:bidi="ar-SA"/>
        </w:rPr>
        <w:t>年度一般公共预算财政拨款支出</w:t>
      </w:r>
      <w:r>
        <w:rPr>
          <w:rFonts w:hint="eastAsia" w:ascii="仿宋_GB2312" w:hAnsi="仿宋" w:cs="Times New Roman"/>
          <w:kern w:val="2"/>
          <w:sz w:val="32"/>
          <w:szCs w:val="32"/>
          <w:lang w:val="en-US" w:eastAsia="zh-CN" w:bidi="ar-SA"/>
        </w:rPr>
        <w:t>2638.44</w:t>
      </w:r>
      <w:r>
        <w:rPr>
          <w:rFonts w:hint="eastAsia" w:ascii="仿宋_GB2312" w:hAnsi="仿宋" w:cs="Times New Roman"/>
          <w:kern w:val="2"/>
          <w:sz w:val="32"/>
          <w:szCs w:val="32"/>
          <w:lang w:val="zh-CN" w:eastAsia="zh-CN" w:bidi="ar-SA"/>
        </w:rPr>
        <w:t>万元，主要用于以下方面：</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en-US" w:eastAsia="zh-CN" w:bidi="ar-SA"/>
        </w:rPr>
        <w:t>1.</w:t>
      </w:r>
      <w:r>
        <w:rPr>
          <w:rFonts w:hint="eastAsia" w:ascii="仿宋_GB2312" w:hAnsi="仿宋" w:cs="Times New Roman"/>
          <w:kern w:val="2"/>
          <w:sz w:val="32"/>
          <w:szCs w:val="32"/>
          <w:lang w:val="zh-CN" w:eastAsia="zh-CN" w:bidi="ar-SA"/>
        </w:rPr>
        <w:t>公共安全（类）支出</w:t>
      </w:r>
      <w:r>
        <w:rPr>
          <w:rFonts w:hint="eastAsia" w:ascii="仿宋_GB2312" w:hAnsi="仿宋" w:cs="Times New Roman"/>
          <w:kern w:val="2"/>
          <w:sz w:val="32"/>
          <w:szCs w:val="32"/>
          <w:lang w:val="en-US" w:eastAsia="zh-CN" w:bidi="ar-SA"/>
        </w:rPr>
        <w:t>2518.07</w:t>
      </w:r>
      <w:r>
        <w:rPr>
          <w:rFonts w:hint="eastAsia" w:ascii="仿宋_GB2312" w:hAnsi="仿宋" w:cs="Times New Roman"/>
          <w:kern w:val="2"/>
          <w:sz w:val="32"/>
          <w:szCs w:val="32"/>
          <w:lang w:val="zh-CN" w:eastAsia="zh-CN" w:bidi="ar-SA"/>
        </w:rPr>
        <w:t>万元，占</w:t>
      </w:r>
      <w:r>
        <w:rPr>
          <w:rFonts w:hint="eastAsia" w:ascii="仿宋_GB2312" w:hAnsi="仿宋" w:cs="Times New Roman"/>
          <w:kern w:val="2"/>
          <w:sz w:val="32"/>
          <w:szCs w:val="32"/>
          <w:lang w:val="en-US" w:eastAsia="zh-CN" w:bidi="ar-SA"/>
        </w:rPr>
        <w:t>95.4</w:t>
      </w:r>
      <w:r>
        <w:rPr>
          <w:rFonts w:hint="eastAsia" w:ascii="仿宋_GB2312" w:hAnsi="仿宋" w:cs="Times New Roman"/>
          <w:kern w:val="2"/>
          <w:sz w:val="32"/>
          <w:szCs w:val="32"/>
          <w:lang w:val="zh-CN" w:eastAsia="zh-CN" w:bidi="ar-SA"/>
        </w:rPr>
        <w:t>%。主要是用于行政运行、一般行政管理事务、案件审判。</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en-US" w:eastAsia="zh-CN" w:bidi="ar-SA"/>
        </w:rPr>
        <w:t>2.</w:t>
      </w:r>
      <w:r>
        <w:rPr>
          <w:rFonts w:hint="eastAsia" w:ascii="仿宋_GB2312" w:hAnsi="仿宋" w:cs="Times New Roman"/>
          <w:kern w:val="2"/>
          <w:sz w:val="32"/>
          <w:szCs w:val="32"/>
          <w:lang w:val="zh-CN" w:eastAsia="zh-CN" w:bidi="ar-SA"/>
        </w:rPr>
        <w:t>社会保障和就业（类）支出</w:t>
      </w:r>
      <w:r>
        <w:rPr>
          <w:rFonts w:hint="eastAsia" w:ascii="仿宋_GB2312" w:hAnsi="仿宋" w:cs="Times New Roman"/>
          <w:kern w:val="2"/>
          <w:sz w:val="32"/>
          <w:szCs w:val="32"/>
          <w:lang w:val="en-US" w:eastAsia="zh-CN" w:bidi="ar-SA"/>
        </w:rPr>
        <w:t>120.37</w:t>
      </w:r>
      <w:r>
        <w:rPr>
          <w:rFonts w:hint="eastAsia" w:ascii="仿宋_GB2312" w:hAnsi="仿宋" w:cs="Times New Roman"/>
          <w:kern w:val="2"/>
          <w:sz w:val="32"/>
          <w:szCs w:val="32"/>
          <w:lang w:val="zh-CN" w:eastAsia="zh-CN" w:bidi="ar-SA"/>
        </w:rPr>
        <w:t>万元，占</w:t>
      </w:r>
      <w:r>
        <w:rPr>
          <w:rFonts w:hint="eastAsia" w:ascii="仿宋_GB2312" w:hAnsi="仿宋" w:cs="Times New Roman"/>
          <w:kern w:val="2"/>
          <w:sz w:val="32"/>
          <w:szCs w:val="32"/>
          <w:lang w:val="en-US" w:eastAsia="zh-CN" w:bidi="ar-SA"/>
        </w:rPr>
        <w:t>4.6</w:t>
      </w:r>
      <w:r>
        <w:rPr>
          <w:rFonts w:hint="eastAsia" w:ascii="仿宋_GB2312" w:hAnsi="仿宋" w:cs="Times New Roman"/>
          <w:kern w:val="2"/>
          <w:sz w:val="32"/>
          <w:szCs w:val="32"/>
          <w:lang w:val="zh-CN" w:eastAsia="zh-CN" w:bidi="ar-SA"/>
        </w:rPr>
        <w:t>%。主要是用于机关事业单位基本养老保险缴费支出。</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en-US" w:eastAsia="zh-CN" w:bidi="ar-SA"/>
        </w:rPr>
        <w:t>（三）</w:t>
      </w:r>
      <w:r>
        <w:rPr>
          <w:rFonts w:hint="eastAsia" w:ascii="仿宋_GB2312" w:hAnsi="仿宋" w:cs="Times New Roman"/>
          <w:kern w:val="2"/>
          <w:sz w:val="32"/>
          <w:szCs w:val="32"/>
          <w:lang w:val="zh-CN" w:eastAsia="zh-CN" w:bidi="ar-SA"/>
        </w:rPr>
        <w:t>一般公共预算财政拨款支出决算具体情况</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202</w:t>
      </w:r>
      <w:r>
        <w:rPr>
          <w:rFonts w:hint="eastAsia" w:ascii="仿宋_GB2312" w:hAnsi="仿宋" w:cs="Times New Roman"/>
          <w:kern w:val="2"/>
          <w:sz w:val="32"/>
          <w:szCs w:val="32"/>
          <w:lang w:val="en-US" w:eastAsia="zh-CN" w:bidi="ar-SA"/>
        </w:rPr>
        <w:t>1</w:t>
      </w:r>
      <w:r>
        <w:rPr>
          <w:rFonts w:hint="eastAsia" w:ascii="仿宋_GB2312" w:hAnsi="仿宋" w:cs="Times New Roman"/>
          <w:kern w:val="2"/>
          <w:sz w:val="32"/>
          <w:szCs w:val="32"/>
          <w:lang w:val="zh-CN" w:eastAsia="zh-CN" w:bidi="ar-SA"/>
        </w:rPr>
        <w:t xml:space="preserve">年度一般公共预算财政拨款支出年初预算为    </w:t>
      </w:r>
      <w:r>
        <w:rPr>
          <w:rFonts w:hint="eastAsia" w:ascii="仿宋_GB2312" w:hAnsi="仿宋" w:cs="Times New Roman"/>
          <w:kern w:val="2"/>
          <w:sz w:val="32"/>
          <w:szCs w:val="32"/>
          <w:lang w:val="en-US" w:eastAsia="zh-CN" w:bidi="ar-SA"/>
        </w:rPr>
        <w:t>2440.5</w:t>
      </w:r>
      <w:r>
        <w:rPr>
          <w:rFonts w:hint="eastAsia" w:ascii="仿宋_GB2312" w:hAnsi="仿宋" w:cs="Times New Roman"/>
          <w:kern w:val="2"/>
          <w:sz w:val="32"/>
          <w:szCs w:val="32"/>
          <w:lang w:val="zh-CN" w:eastAsia="zh-CN" w:bidi="ar-SA"/>
        </w:rPr>
        <w:t>万元，支出决算为</w:t>
      </w:r>
      <w:r>
        <w:rPr>
          <w:rFonts w:hint="eastAsia" w:ascii="仿宋_GB2312" w:hAnsi="仿宋" w:cs="Times New Roman"/>
          <w:kern w:val="2"/>
          <w:sz w:val="32"/>
          <w:szCs w:val="32"/>
          <w:lang w:val="en-US" w:eastAsia="zh-CN" w:bidi="ar-SA"/>
        </w:rPr>
        <w:t>2638.44</w:t>
      </w:r>
      <w:r>
        <w:rPr>
          <w:rFonts w:hint="eastAsia" w:ascii="仿宋_GB2312" w:hAnsi="仿宋" w:cs="Times New Roman"/>
          <w:kern w:val="2"/>
          <w:sz w:val="32"/>
          <w:szCs w:val="32"/>
          <w:lang w:val="zh-CN" w:eastAsia="zh-CN" w:bidi="ar-SA"/>
        </w:rPr>
        <w:t>万元，完成年初预算的10</w:t>
      </w:r>
      <w:r>
        <w:rPr>
          <w:rFonts w:hint="eastAsia" w:ascii="仿宋_GB2312" w:hAnsi="仿宋" w:cs="Times New Roman"/>
          <w:kern w:val="2"/>
          <w:sz w:val="32"/>
          <w:szCs w:val="32"/>
          <w:lang w:val="en-US" w:eastAsia="zh-CN" w:bidi="ar-SA"/>
        </w:rPr>
        <w:t>8.1</w:t>
      </w:r>
      <w:r>
        <w:rPr>
          <w:rFonts w:hint="eastAsia" w:ascii="仿宋_GB2312" w:hAnsi="仿宋" w:cs="Times New Roman"/>
          <w:kern w:val="2"/>
          <w:sz w:val="32"/>
          <w:szCs w:val="32"/>
          <w:lang w:val="zh-CN" w:eastAsia="zh-CN" w:bidi="ar-SA"/>
        </w:rPr>
        <w:t>%。其中：</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en-US" w:eastAsia="zh-CN" w:bidi="ar-SA"/>
        </w:rPr>
        <w:t>1.</w:t>
      </w:r>
      <w:r>
        <w:rPr>
          <w:rFonts w:hint="eastAsia" w:ascii="仿宋_GB2312" w:hAnsi="仿宋" w:cs="Times New Roman"/>
          <w:kern w:val="2"/>
          <w:sz w:val="32"/>
          <w:szCs w:val="32"/>
          <w:lang w:val="zh-CN" w:eastAsia="zh-CN" w:bidi="ar-SA"/>
        </w:rPr>
        <w:t>公共安全支出（类）法院（款）行政运行（项）。年初预算为</w:t>
      </w:r>
      <w:r>
        <w:rPr>
          <w:rFonts w:hint="eastAsia" w:ascii="仿宋_GB2312" w:hAnsi="仿宋" w:cs="Times New Roman"/>
          <w:kern w:val="2"/>
          <w:sz w:val="32"/>
          <w:szCs w:val="32"/>
          <w:lang w:val="en-US" w:eastAsia="zh-CN" w:bidi="ar-SA"/>
        </w:rPr>
        <w:t>2160.4</w:t>
      </w:r>
      <w:r>
        <w:rPr>
          <w:rFonts w:hint="eastAsia" w:ascii="仿宋_GB2312" w:hAnsi="仿宋" w:cs="Times New Roman"/>
          <w:kern w:val="2"/>
          <w:sz w:val="32"/>
          <w:szCs w:val="32"/>
          <w:lang w:val="zh-CN" w:eastAsia="zh-CN" w:bidi="ar-SA"/>
        </w:rPr>
        <w:t>万元，支出决算为</w:t>
      </w:r>
      <w:r>
        <w:rPr>
          <w:rFonts w:hint="eastAsia" w:ascii="仿宋_GB2312" w:hAnsi="仿宋" w:cs="Times New Roman"/>
          <w:kern w:val="2"/>
          <w:sz w:val="32"/>
          <w:szCs w:val="32"/>
          <w:lang w:val="en-US" w:eastAsia="zh-CN" w:bidi="ar-SA"/>
        </w:rPr>
        <w:t>2236.57</w:t>
      </w:r>
      <w:r>
        <w:rPr>
          <w:rFonts w:hint="eastAsia" w:ascii="仿宋_GB2312" w:hAnsi="仿宋" w:cs="Times New Roman"/>
          <w:kern w:val="2"/>
          <w:sz w:val="32"/>
          <w:szCs w:val="32"/>
          <w:lang w:val="zh-CN" w:eastAsia="zh-CN" w:bidi="ar-SA"/>
        </w:rPr>
        <w:t>万元，完成年初预算的</w:t>
      </w:r>
      <w:r>
        <w:rPr>
          <w:rFonts w:hint="eastAsia" w:ascii="仿宋_GB2312" w:hAnsi="仿宋" w:cs="Times New Roman"/>
          <w:kern w:val="2"/>
          <w:sz w:val="32"/>
          <w:szCs w:val="32"/>
          <w:lang w:val="en-US" w:eastAsia="zh-CN" w:bidi="ar-SA"/>
        </w:rPr>
        <w:t>103.5</w:t>
      </w:r>
      <w:r>
        <w:rPr>
          <w:rFonts w:hint="eastAsia" w:ascii="仿宋_GB2312" w:hAnsi="仿宋" w:cs="Times New Roman"/>
          <w:kern w:val="2"/>
          <w:sz w:val="32"/>
          <w:szCs w:val="32"/>
          <w:lang w:val="zh-CN" w:eastAsia="zh-CN" w:bidi="ar-SA"/>
        </w:rPr>
        <w:t>%，支出决算数大于年初预算数的主要原因是法院绩效考核资金年初预算编报40%，剩下的60%部分以预算追加的形式下达。</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en-US" w:eastAsia="zh-CN" w:bidi="ar-SA"/>
        </w:rPr>
        <w:t>2.</w:t>
      </w:r>
      <w:r>
        <w:rPr>
          <w:rFonts w:hint="eastAsia" w:ascii="仿宋_GB2312" w:hAnsi="仿宋" w:eastAsia="仿宋_GB2312" w:cs="Times New Roman"/>
          <w:kern w:val="2"/>
          <w:sz w:val="32"/>
          <w:szCs w:val="32"/>
          <w:lang w:val="zh-CN" w:eastAsia="zh-CN" w:bidi="ar-SA"/>
        </w:rPr>
        <w:t>公共安全支出（类）法院（款）一般行政管理事务（项）。年初预算为</w:t>
      </w:r>
      <w:r>
        <w:rPr>
          <w:rFonts w:hint="eastAsia" w:ascii="仿宋_GB2312" w:hAnsi="仿宋" w:eastAsia="仿宋_GB2312" w:cs="Times New Roman"/>
          <w:kern w:val="2"/>
          <w:sz w:val="32"/>
          <w:szCs w:val="32"/>
          <w:lang w:val="en-US" w:eastAsia="zh-CN" w:bidi="ar-SA"/>
        </w:rPr>
        <w:t>94.61</w:t>
      </w:r>
      <w:r>
        <w:rPr>
          <w:rFonts w:hint="eastAsia" w:ascii="仿宋_GB2312" w:hAnsi="仿宋" w:eastAsia="仿宋_GB2312" w:cs="Times New Roman"/>
          <w:kern w:val="2"/>
          <w:sz w:val="32"/>
          <w:szCs w:val="32"/>
          <w:lang w:val="zh-CN" w:eastAsia="zh-CN" w:bidi="ar-SA"/>
        </w:rPr>
        <w:t>万元，支出决算为</w:t>
      </w:r>
      <w:r>
        <w:rPr>
          <w:rFonts w:hint="eastAsia" w:ascii="仿宋_GB2312" w:hAnsi="仿宋" w:eastAsia="仿宋_GB2312" w:cs="Times New Roman"/>
          <w:kern w:val="2"/>
          <w:sz w:val="32"/>
          <w:szCs w:val="32"/>
          <w:lang w:val="en-US" w:eastAsia="zh-CN" w:bidi="ar-SA"/>
        </w:rPr>
        <w:t>216.38</w:t>
      </w:r>
      <w:r>
        <w:rPr>
          <w:rFonts w:hint="eastAsia" w:ascii="仿宋_GB2312" w:hAnsi="仿宋" w:eastAsia="仿宋_GB2312" w:cs="Times New Roman"/>
          <w:kern w:val="2"/>
          <w:sz w:val="32"/>
          <w:szCs w:val="32"/>
          <w:lang w:val="zh-CN" w:eastAsia="zh-CN" w:bidi="ar-SA"/>
        </w:rPr>
        <w:t>万元，完成年初预算的</w:t>
      </w:r>
      <w:r>
        <w:rPr>
          <w:rFonts w:hint="eastAsia" w:ascii="仿宋_GB2312" w:hAnsi="仿宋" w:eastAsia="仿宋_GB2312" w:cs="Times New Roman"/>
          <w:kern w:val="2"/>
          <w:sz w:val="32"/>
          <w:szCs w:val="32"/>
          <w:lang w:val="en-US" w:eastAsia="zh-CN" w:bidi="ar-SA"/>
        </w:rPr>
        <w:t>228.7</w:t>
      </w:r>
      <w:r>
        <w:rPr>
          <w:rFonts w:hint="eastAsia" w:ascii="仿宋_GB2312" w:hAnsi="仿宋" w:eastAsia="仿宋_GB2312" w:cs="Times New Roman"/>
          <w:kern w:val="2"/>
          <w:sz w:val="32"/>
          <w:szCs w:val="32"/>
          <w:lang w:val="zh-CN" w:eastAsia="zh-CN" w:bidi="ar-SA"/>
        </w:rPr>
        <w:t>%。支出决算数大于年初预算数的主要原因是年中预算追</w:t>
      </w:r>
      <w:r>
        <w:rPr>
          <w:rFonts w:hint="eastAsia" w:ascii="仿宋_GB2312" w:hAnsi="仿宋" w:cs="Times New Roman"/>
          <w:kern w:val="2"/>
          <w:sz w:val="32"/>
          <w:szCs w:val="32"/>
          <w:lang w:val="zh-CN" w:eastAsia="zh-CN" w:bidi="ar-SA"/>
        </w:rPr>
        <w:t>加下达了特定项目经费。</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en-US" w:eastAsia="zh-CN" w:bidi="ar-SA"/>
        </w:rPr>
        <w:t>3.</w:t>
      </w:r>
      <w:r>
        <w:rPr>
          <w:rFonts w:hint="eastAsia" w:ascii="仿宋_GB2312" w:hAnsi="仿宋" w:cs="Times New Roman"/>
          <w:kern w:val="2"/>
          <w:sz w:val="32"/>
          <w:szCs w:val="32"/>
          <w:lang w:val="zh-CN" w:eastAsia="zh-CN" w:bidi="ar-SA"/>
        </w:rPr>
        <w:t>公共安全支出（类）法院（款）案件审判（项）。年初预算为</w:t>
      </w:r>
      <w:r>
        <w:rPr>
          <w:rFonts w:hint="eastAsia" w:ascii="仿宋_GB2312" w:hAnsi="仿宋" w:cs="Times New Roman"/>
          <w:kern w:val="2"/>
          <w:sz w:val="32"/>
          <w:szCs w:val="32"/>
          <w:lang w:val="en-US" w:eastAsia="zh-CN" w:bidi="ar-SA"/>
        </w:rPr>
        <w:t>65.12</w:t>
      </w:r>
      <w:r>
        <w:rPr>
          <w:rFonts w:hint="eastAsia" w:ascii="仿宋_GB2312" w:hAnsi="仿宋" w:cs="Times New Roman"/>
          <w:kern w:val="2"/>
          <w:sz w:val="32"/>
          <w:szCs w:val="32"/>
          <w:lang w:val="zh-CN" w:eastAsia="zh-CN" w:bidi="ar-SA"/>
        </w:rPr>
        <w:t>万元，支出决算为</w:t>
      </w:r>
      <w:r>
        <w:rPr>
          <w:rFonts w:hint="eastAsia" w:ascii="仿宋_GB2312" w:hAnsi="仿宋" w:cs="Times New Roman"/>
          <w:kern w:val="2"/>
          <w:sz w:val="32"/>
          <w:szCs w:val="32"/>
          <w:lang w:val="en-US" w:eastAsia="zh-CN" w:bidi="ar-SA"/>
        </w:rPr>
        <w:t>65.12</w:t>
      </w:r>
      <w:r>
        <w:rPr>
          <w:rFonts w:hint="eastAsia" w:ascii="仿宋_GB2312" w:hAnsi="仿宋" w:cs="Times New Roman"/>
          <w:kern w:val="2"/>
          <w:sz w:val="32"/>
          <w:szCs w:val="32"/>
          <w:lang w:val="zh-CN" w:eastAsia="zh-CN" w:bidi="ar-SA"/>
        </w:rPr>
        <w:t>万元，完成年初预算的</w:t>
      </w:r>
      <w:r>
        <w:rPr>
          <w:rFonts w:hint="eastAsia" w:ascii="仿宋_GB2312" w:hAnsi="仿宋" w:cs="Times New Roman"/>
          <w:kern w:val="2"/>
          <w:sz w:val="32"/>
          <w:szCs w:val="32"/>
          <w:lang w:val="en-US" w:eastAsia="zh-CN" w:bidi="ar-SA"/>
        </w:rPr>
        <w:t>100</w:t>
      </w:r>
      <w:r>
        <w:rPr>
          <w:rFonts w:hint="eastAsia" w:ascii="仿宋_GB2312" w:hAnsi="仿宋" w:cs="Times New Roman"/>
          <w:kern w:val="2"/>
          <w:sz w:val="32"/>
          <w:szCs w:val="32"/>
          <w:lang w:val="zh-CN" w:eastAsia="zh-CN" w:bidi="ar-SA"/>
        </w:rPr>
        <w:t>%。</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 w:hAnsi="仿宋" w:eastAsia="仿宋"/>
          <w:szCs w:val="32"/>
          <w:lang w:val="zh-CN"/>
        </w:rPr>
      </w:pPr>
      <w:r>
        <w:rPr>
          <w:rFonts w:hint="eastAsia" w:ascii="仿宋_GB2312" w:hAnsi="仿宋" w:cs="Times New Roman"/>
          <w:kern w:val="2"/>
          <w:sz w:val="32"/>
          <w:szCs w:val="32"/>
          <w:lang w:val="en-US" w:eastAsia="zh-CN" w:bidi="ar-SA"/>
        </w:rPr>
        <w:t>4.</w:t>
      </w:r>
      <w:r>
        <w:rPr>
          <w:rFonts w:hint="eastAsia" w:ascii="仿宋_GB2312" w:hAnsi="仿宋" w:cs="Times New Roman"/>
          <w:kern w:val="2"/>
          <w:sz w:val="32"/>
          <w:szCs w:val="32"/>
          <w:lang w:val="zh-CN" w:eastAsia="zh-CN" w:bidi="ar-SA"/>
        </w:rPr>
        <w:t>社会保障和就业支出（类）行政事业单位养老支出（款）机关事业单位基本养老保险缴费支出（项）。年初预算为</w:t>
      </w:r>
      <w:r>
        <w:rPr>
          <w:rFonts w:hint="eastAsia" w:ascii="仿宋_GB2312" w:hAnsi="仿宋" w:cs="Times New Roman"/>
          <w:kern w:val="2"/>
          <w:sz w:val="32"/>
          <w:szCs w:val="32"/>
          <w:lang w:val="en-US" w:eastAsia="zh-CN" w:bidi="ar-SA"/>
        </w:rPr>
        <w:t>120.37</w:t>
      </w:r>
      <w:r>
        <w:rPr>
          <w:rFonts w:hint="eastAsia" w:ascii="仿宋_GB2312" w:hAnsi="仿宋" w:cs="Times New Roman"/>
          <w:kern w:val="2"/>
          <w:sz w:val="32"/>
          <w:szCs w:val="32"/>
          <w:lang w:val="zh-CN" w:eastAsia="zh-CN" w:bidi="ar-SA"/>
        </w:rPr>
        <w:t>万元，支出决算为</w:t>
      </w:r>
      <w:r>
        <w:rPr>
          <w:rFonts w:hint="eastAsia" w:ascii="仿宋_GB2312" w:hAnsi="仿宋" w:cs="Times New Roman"/>
          <w:kern w:val="2"/>
          <w:sz w:val="32"/>
          <w:szCs w:val="32"/>
          <w:lang w:val="en-US" w:eastAsia="zh-CN" w:bidi="ar-SA"/>
        </w:rPr>
        <w:t>120.37</w:t>
      </w:r>
      <w:r>
        <w:rPr>
          <w:rFonts w:hint="eastAsia" w:ascii="仿宋_GB2312" w:hAnsi="仿宋" w:cs="Times New Roman"/>
          <w:kern w:val="2"/>
          <w:sz w:val="32"/>
          <w:szCs w:val="32"/>
          <w:lang w:val="zh-CN" w:eastAsia="zh-CN" w:bidi="ar-SA"/>
        </w:rPr>
        <w:t>万元，完成年初预算的100%。</w:t>
      </w:r>
    </w:p>
    <w:p>
      <w:pPr>
        <w:pStyle w:val="2"/>
        <w:ind w:left="640"/>
        <w:rPr>
          <w:rFonts w:hint="eastAsia" w:ascii="华文楷体" w:hAnsi="华文楷体" w:eastAsia="华文楷体" w:cs="黑体"/>
          <w:b/>
          <w:bCs/>
          <w:szCs w:val="32"/>
          <w:lang w:val="zh-CN" w:eastAsia="zh-CN"/>
        </w:rPr>
      </w:pPr>
      <w:r>
        <w:rPr>
          <w:rFonts w:hint="eastAsia" w:ascii="华文楷体" w:hAnsi="华文楷体" w:eastAsia="华文楷体" w:cs="黑体"/>
          <w:b/>
          <w:bCs/>
          <w:szCs w:val="32"/>
          <w:lang w:val="zh-CN" w:eastAsia="zh-CN"/>
        </w:rPr>
        <w:t>六、一般公共预算财政拨款基本支出决算情况说明</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2021年度法院一般公共预算财政拨款基本支出2356.94万元，比2020年度增加60.73万元，增长2.6%，增长的主要原因一是5名公务员试用期转正调整补发工资；二是2021年1月33名干警基本工资及规范津贴补贴调整及补发工资。</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一般公共预算财政拨款基本支出比年初预算增加76.17万元，增长3.3%，增长的主要原因是全省法院绩效考核奖金年初预算编报40%，剩下60%部分以预算追加形式下达。其中:</w:t>
      </w:r>
    </w:p>
    <w:p>
      <w:pPr>
        <w:ind w:firstLine="640" w:firstLineChars="200"/>
        <w:rPr>
          <w:rFonts w:hint="eastAsia" w:ascii="仿宋_GB2312" w:hAnsi="仿宋_GB2312" w:cs="仿宋_GB2312"/>
        </w:rPr>
      </w:pPr>
      <w:r>
        <w:rPr>
          <w:rFonts w:hint="eastAsia" w:ascii="仿宋_GB2312" w:hAnsi="仿宋" w:cs="Times New Roman"/>
          <w:kern w:val="2"/>
          <w:sz w:val="32"/>
          <w:szCs w:val="32"/>
          <w:lang w:val="zh-CN" w:eastAsia="zh-CN" w:bidi="ar-SA"/>
        </w:rPr>
        <w:t>1.人员经费2081.82万元，</w:t>
      </w:r>
      <w:r>
        <w:rPr>
          <w:rFonts w:hint="eastAsia" w:ascii="仿宋_GB2312" w:hAnsi="仿宋_GB2312" w:cs="仿宋_GB2312"/>
        </w:rPr>
        <w:t>主要包括：基本工资、津贴补贴、奖金、机关事业单位基本养老保险缴费、其他社会保障缴费、住房公积金、其他工资福利支出、离休费、退休费、医疗费补助。</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2.公用经费275.12万元，</w:t>
      </w:r>
      <w:r>
        <w:rPr>
          <w:rFonts w:hint="eastAsia" w:ascii="仿宋_GB2312" w:hAnsi="仿宋_GB2312" w:cs="仿宋_GB2312"/>
        </w:rPr>
        <w:t>主要包括：办公费、手续费、水费、电费、邮电费、物业管理费、维修</w:t>
      </w:r>
      <w:r>
        <w:rPr>
          <w:rFonts w:hint="eastAsia" w:ascii="仿宋_GB2312" w:hAnsi="仿宋_GB2312" w:cs="仿宋_GB2312"/>
          <w:lang w:eastAsia="zh-CN"/>
        </w:rPr>
        <w:t>（</w:t>
      </w:r>
      <w:r>
        <w:rPr>
          <w:rFonts w:hint="eastAsia" w:ascii="仿宋_GB2312" w:hAnsi="仿宋_GB2312" w:cs="仿宋_GB2312"/>
        </w:rPr>
        <w:t>护</w:t>
      </w:r>
      <w:r>
        <w:rPr>
          <w:rFonts w:hint="eastAsia" w:ascii="仿宋_GB2312" w:hAnsi="仿宋_GB2312" w:cs="仿宋_GB2312"/>
          <w:lang w:eastAsia="zh-CN"/>
        </w:rPr>
        <w:t>）</w:t>
      </w:r>
      <w:r>
        <w:rPr>
          <w:rFonts w:hint="eastAsia" w:ascii="仿宋_GB2312" w:hAnsi="仿宋_GB2312" w:cs="仿宋_GB2312"/>
        </w:rPr>
        <w:t>费、公务接待费、委托业务费、工会经费、福利费、公务用车运行维护费、其他交通费用、其他商品和服务支出、专用设备购置。</w:t>
      </w:r>
      <w:r>
        <w:rPr>
          <w:rFonts w:hint="eastAsia" w:ascii="仿宋_GB2312" w:hAnsi="仿宋" w:cs="Times New Roman"/>
          <w:kern w:val="2"/>
          <w:sz w:val="32"/>
          <w:szCs w:val="32"/>
          <w:lang w:val="zh-CN" w:eastAsia="zh-CN" w:bidi="ar-SA"/>
        </w:rPr>
        <w:t xml:space="preserve"> </w:t>
      </w:r>
    </w:p>
    <w:p>
      <w:pPr>
        <w:ind w:firstLine="641" w:firstLineChars="200"/>
        <w:outlineLvl w:val="1"/>
        <w:rPr>
          <w:rFonts w:hint="eastAsia" w:ascii="黑体" w:hAnsi="黑体" w:eastAsia="黑体" w:cs="黑体"/>
          <w:szCs w:val="32"/>
        </w:rPr>
      </w:pPr>
      <w:bookmarkStart w:id="19" w:name="_Toc20894"/>
      <w:bookmarkStart w:id="20" w:name="_Toc17772"/>
      <w:bookmarkStart w:id="21" w:name="_Toc4713"/>
      <w:r>
        <w:rPr>
          <w:rFonts w:hint="eastAsia" w:ascii="华文楷体" w:hAnsi="华文楷体" w:eastAsia="华文楷体" w:cs="黑体"/>
          <w:b/>
          <w:bCs/>
          <w:szCs w:val="32"/>
        </w:rPr>
        <w:t>七、政府性基金预算财政拨款收入支出决算情况说明</w:t>
      </w:r>
      <w:bookmarkEnd w:id="19"/>
      <w:bookmarkEnd w:id="20"/>
      <w:bookmarkEnd w:id="21"/>
      <w:r>
        <w:rPr>
          <w:rFonts w:hint="eastAsia" w:ascii="黑体" w:hAnsi="黑体" w:eastAsia="黑体" w:cs="黑体"/>
        </w:rPr>
        <w:t xml:space="preserve"> </w:t>
      </w:r>
    </w:p>
    <w:p>
      <w:pPr>
        <w:ind w:firstLine="640" w:firstLineChars="200"/>
        <w:rPr>
          <w:rFonts w:hint="eastAsia" w:ascii="仿宋_GB2312" w:hAnsi="仿宋_GB2312" w:cs="仿宋_GB2312"/>
          <w:szCs w:val="32"/>
        </w:rPr>
      </w:pPr>
      <w:r>
        <w:rPr>
          <w:rFonts w:hint="eastAsia" w:ascii="仿宋_GB2312"/>
          <w:color w:val="000000"/>
          <w:szCs w:val="32"/>
        </w:rPr>
        <w:t>本单位当年无政府性基金预算财政拨款收入支出。</w:t>
      </w:r>
    </w:p>
    <w:p>
      <w:pPr>
        <w:ind w:firstLine="641" w:firstLineChars="200"/>
        <w:outlineLvl w:val="1"/>
        <w:rPr>
          <w:rFonts w:hint="eastAsia" w:ascii="华文楷体" w:hAnsi="华文楷体" w:eastAsia="华文楷体" w:cs="黑体"/>
          <w:b/>
          <w:bCs/>
          <w:szCs w:val="32"/>
        </w:rPr>
      </w:pPr>
      <w:bookmarkStart w:id="22" w:name="_Toc18897"/>
      <w:bookmarkStart w:id="23" w:name="_Toc25262"/>
      <w:bookmarkStart w:id="24" w:name="_Toc19734"/>
      <w:r>
        <w:rPr>
          <w:rFonts w:hint="eastAsia" w:ascii="华文楷体" w:hAnsi="华文楷体" w:eastAsia="华文楷体" w:cs="黑体"/>
          <w:b/>
          <w:bCs/>
          <w:szCs w:val="32"/>
        </w:rPr>
        <w:t>八、国有资本经营预算财政拨款支出决算情况说明</w:t>
      </w:r>
      <w:bookmarkEnd w:id="22"/>
      <w:bookmarkEnd w:id="23"/>
      <w:bookmarkEnd w:id="24"/>
    </w:p>
    <w:p>
      <w:pPr>
        <w:ind w:firstLine="640" w:firstLineChars="200"/>
        <w:rPr>
          <w:rFonts w:hint="eastAsia" w:ascii="黑体" w:hAnsi="黑体" w:eastAsia="黑体" w:cs="黑体"/>
        </w:rPr>
      </w:pPr>
      <w:r>
        <w:rPr>
          <w:rFonts w:hint="eastAsia" w:ascii="仿宋_GB2312"/>
          <w:color w:val="000000"/>
          <w:szCs w:val="32"/>
        </w:rPr>
        <w:t>本单位当年无国有资本经营预算财政拨款支出。</w:t>
      </w:r>
    </w:p>
    <w:p>
      <w:pPr>
        <w:ind w:firstLine="641" w:firstLineChars="200"/>
        <w:outlineLvl w:val="1"/>
        <w:rPr>
          <w:rFonts w:hint="eastAsia" w:ascii="华文楷体" w:hAnsi="华文楷体" w:eastAsia="华文楷体" w:cs="黑体"/>
          <w:b/>
          <w:bCs/>
          <w:szCs w:val="32"/>
          <w:lang w:val="zh-CN" w:eastAsia="zh-CN"/>
        </w:rPr>
      </w:pPr>
      <w:r>
        <w:rPr>
          <w:rFonts w:hint="eastAsia" w:ascii="华文楷体" w:hAnsi="华文楷体" w:eastAsia="华文楷体" w:cs="黑体"/>
          <w:b/>
          <w:bCs/>
          <w:szCs w:val="32"/>
          <w:lang w:val="zh-CN" w:eastAsia="zh-CN"/>
        </w:rPr>
        <w:t>九、财政拨款“三公”经费支出决算情况说明</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 w:hAnsi="仿宋" w:eastAsia="仿宋" w:cs="仿宋"/>
          <w:kern w:val="2"/>
          <w:sz w:val="32"/>
          <w:szCs w:val="32"/>
          <w:lang w:val="zh-CN" w:eastAsia="zh-CN" w:bidi="ar-SA"/>
        </w:rPr>
      </w:pPr>
      <w:r>
        <w:rPr>
          <w:rFonts w:hint="eastAsia" w:ascii="仿宋" w:hAnsi="仿宋" w:eastAsia="仿宋" w:cs="仿宋"/>
          <w:kern w:val="2"/>
          <w:sz w:val="32"/>
          <w:szCs w:val="32"/>
          <w:lang w:val="zh-CN" w:eastAsia="zh-CN" w:bidi="ar-SA"/>
        </w:rPr>
        <w:t>（一）“三公”经费财政拨款支出决算总体情况说明</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2021年度“三公”经费财政拨款支出预算数为</w:t>
      </w:r>
      <w:r>
        <w:rPr>
          <w:rFonts w:hint="eastAsia" w:ascii="仿宋_GB2312" w:hAnsi="仿宋" w:cs="Times New Roman"/>
          <w:kern w:val="2"/>
          <w:sz w:val="32"/>
          <w:szCs w:val="32"/>
          <w:lang w:val="en-US" w:eastAsia="zh-CN" w:bidi="ar-SA"/>
        </w:rPr>
        <w:t>56万元，支出</w:t>
      </w:r>
      <w:r>
        <w:rPr>
          <w:rFonts w:hint="eastAsia" w:ascii="仿宋_GB2312" w:hAnsi="仿宋" w:cs="Times New Roman"/>
          <w:kern w:val="2"/>
          <w:sz w:val="32"/>
          <w:szCs w:val="32"/>
          <w:lang w:val="zh-CN" w:eastAsia="zh-CN" w:bidi="ar-SA"/>
        </w:rPr>
        <w:t>决算数为30.15万元，完成预算</w:t>
      </w:r>
      <w:r>
        <w:rPr>
          <w:rFonts w:hint="eastAsia" w:ascii="仿宋_GB2312" w:hAnsi="仿宋" w:cs="Times New Roman"/>
          <w:kern w:val="2"/>
          <w:sz w:val="32"/>
          <w:szCs w:val="32"/>
          <w:lang w:val="en-US" w:eastAsia="zh-CN" w:bidi="ar-SA"/>
        </w:rPr>
        <w:t>53.8%。</w:t>
      </w:r>
      <w:r>
        <w:rPr>
          <w:rFonts w:hint="eastAsia" w:ascii="仿宋_GB2312" w:hAnsi="仿宋" w:cs="Times New Roman"/>
          <w:kern w:val="2"/>
          <w:sz w:val="32"/>
          <w:szCs w:val="32"/>
          <w:lang w:val="zh-CN" w:eastAsia="zh-CN" w:bidi="ar-SA"/>
        </w:rPr>
        <w:t>与2020年度决算相比减少25.85万元，下降46.2%</w:t>
      </w:r>
      <w:r>
        <w:rPr>
          <w:rFonts w:hint="eastAsia" w:ascii="仿宋_GB2312" w:hAnsi="仿宋" w:cs="Times New Roman"/>
          <w:kern w:val="2"/>
          <w:sz w:val="32"/>
          <w:szCs w:val="32"/>
          <w:lang w:val="en-US" w:eastAsia="zh-CN" w:bidi="ar-SA"/>
        </w:rPr>
        <w:t>。</w:t>
      </w:r>
      <w:r>
        <w:rPr>
          <w:rFonts w:hint="eastAsia" w:ascii="仿宋_GB2312" w:hAnsi="仿宋" w:cs="Times New Roman"/>
          <w:kern w:val="2"/>
          <w:sz w:val="32"/>
          <w:szCs w:val="32"/>
          <w:lang w:val="zh-CN" w:eastAsia="zh-CN" w:bidi="ar-SA"/>
        </w:rPr>
        <w:t>与2021年度年初预算和2020年度决算数相比均减少的主要原因是严格执行中央及省委、省政府有关政策规定，严格加强财务管理，厉行节约，压缩一般性支出，调减公务用车运行维护费及公务接待费。</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（二）“三公”经费财政拨款支出决算具体情况说明</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en-US" w:eastAsia="zh-CN" w:bidi="ar-SA"/>
        </w:rPr>
      </w:pPr>
      <w:r>
        <w:rPr>
          <w:rFonts w:hint="eastAsia" w:ascii="仿宋_GB2312" w:hAnsi="仿宋" w:cs="Times New Roman"/>
          <w:kern w:val="2"/>
          <w:sz w:val="32"/>
          <w:szCs w:val="32"/>
          <w:lang w:val="en-US" w:eastAsia="zh-CN" w:bidi="ar-SA"/>
        </w:rPr>
        <w:t>1.</w:t>
      </w:r>
      <w:r>
        <w:rPr>
          <w:rFonts w:hint="eastAsia" w:ascii="仿宋_GB2312" w:hAnsi="仿宋" w:cs="Times New Roman"/>
          <w:kern w:val="2"/>
          <w:sz w:val="32"/>
          <w:szCs w:val="32"/>
          <w:lang w:val="zh-CN" w:eastAsia="zh-CN" w:bidi="ar-SA"/>
        </w:rPr>
        <w:t>因公出国（境）费全年预算数为</w:t>
      </w:r>
      <w:r>
        <w:rPr>
          <w:rFonts w:hint="eastAsia" w:ascii="仿宋_GB2312" w:hAnsi="仿宋" w:cs="Times New Roman"/>
          <w:kern w:val="2"/>
          <w:sz w:val="32"/>
          <w:szCs w:val="32"/>
          <w:lang w:val="en-US" w:eastAsia="zh-CN" w:bidi="ar-SA"/>
        </w:rPr>
        <w:t>0万元，支出决算为0万元，完成预算的100%。较上年决算数持平。</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全年因公出国（境）团组数、人次数均为0。</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default" w:ascii="仿宋_GB2312" w:hAnsi="仿宋" w:cs="Times New Roman"/>
          <w:kern w:val="2"/>
          <w:sz w:val="32"/>
          <w:szCs w:val="32"/>
          <w:lang w:val="en-US" w:eastAsia="zh-CN" w:bidi="ar-SA"/>
        </w:rPr>
      </w:pPr>
      <w:r>
        <w:rPr>
          <w:rFonts w:hint="eastAsia" w:ascii="仿宋_GB2312" w:hAnsi="仿宋" w:cs="Times New Roman"/>
          <w:kern w:val="2"/>
          <w:sz w:val="32"/>
          <w:szCs w:val="32"/>
          <w:lang w:val="en-US" w:eastAsia="zh-CN" w:bidi="ar-SA"/>
        </w:rPr>
        <w:t>2.公务用车购置及运行费全年预算数为34万元，支出决算为17万元，完成预算的50%。较上年减少19万元，</w:t>
      </w:r>
      <w:r>
        <w:rPr>
          <w:rFonts w:hint="eastAsia" w:ascii="仿宋_GB2312" w:hAnsi="仿宋" w:cs="Times New Roman"/>
          <w:kern w:val="2"/>
          <w:sz w:val="32"/>
          <w:szCs w:val="32"/>
          <w:lang w:val="zh-CN" w:eastAsia="zh-CN" w:bidi="ar-SA"/>
        </w:rPr>
        <w:t>下降52.8%。与2021年度年初预算和2020年度决算数相比均减少的主要原因是2021年度压缩一般性支出，车辆使用频率降低，调减公务用车运行维护费支出。其中：</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w:t>
      </w:r>
      <w:r>
        <w:rPr>
          <w:rFonts w:hint="eastAsia" w:ascii="仿宋_GB2312" w:hAnsi="仿宋" w:cs="Times New Roman"/>
          <w:kern w:val="2"/>
          <w:sz w:val="32"/>
          <w:szCs w:val="32"/>
          <w:lang w:val="en-US" w:eastAsia="zh-CN" w:bidi="ar-SA"/>
        </w:rPr>
        <w:t>1</w:t>
      </w:r>
      <w:r>
        <w:rPr>
          <w:rFonts w:hint="eastAsia" w:ascii="仿宋_GB2312" w:hAnsi="仿宋" w:cs="Times New Roman"/>
          <w:kern w:val="2"/>
          <w:sz w:val="32"/>
          <w:szCs w:val="32"/>
          <w:lang w:val="zh-CN" w:eastAsia="zh-CN" w:bidi="ar-SA"/>
        </w:rPr>
        <w:t>）公务用车购置费</w:t>
      </w:r>
      <w:r>
        <w:rPr>
          <w:rFonts w:hint="eastAsia" w:ascii="仿宋_GB2312" w:hAnsi="仿宋" w:cs="Times New Roman"/>
          <w:kern w:val="2"/>
          <w:sz w:val="32"/>
          <w:szCs w:val="32"/>
          <w:lang w:val="en-US" w:eastAsia="zh-CN" w:bidi="ar-SA"/>
        </w:rPr>
        <w:t>支出决算为0万元，</w:t>
      </w:r>
      <w:r>
        <w:rPr>
          <w:rFonts w:hint="eastAsia" w:ascii="仿宋_GB2312" w:hAnsi="仿宋" w:cs="Times New Roman"/>
          <w:kern w:val="2"/>
          <w:sz w:val="32"/>
          <w:szCs w:val="32"/>
          <w:lang w:val="zh-CN" w:eastAsia="zh-CN" w:bidi="ar-SA"/>
        </w:rPr>
        <w:t>本年度公务用车购置（更新）数量0台。</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default" w:ascii="仿宋_GB2312" w:hAnsi="仿宋" w:cs="Times New Roman"/>
          <w:kern w:val="2"/>
          <w:sz w:val="32"/>
          <w:szCs w:val="32"/>
          <w:lang w:val="en-US" w:eastAsia="zh-CN" w:bidi="ar-SA"/>
        </w:rPr>
      </w:pPr>
      <w:r>
        <w:rPr>
          <w:rFonts w:hint="eastAsia" w:ascii="仿宋_GB2312" w:hAnsi="仿宋" w:cs="Times New Roman"/>
          <w:kern w:val="2"/>
          <w:sz w:val="32"/>
          <w:szCs w:val="32"/>
          <w:lang w:val="en-US" w:eastAsia="zh-CN" w:bidi="ar-SA"/>
        </w:rPr>
        <w:t>（2）</w:t>
      </w:r>
      <w:r>
        <w:rPr>
          <w:rFonts w:hint="eastAsia" w:ascii="仿宋_GB2312" w:hAnsi="仿宋" w:cs="Times New Roman"/>
          <w:kern w:val="2"/>
          <w:sz w:val="32"/>
          <w:szCs w:val="32"/>
          <w:lang w:val="zh-CN" w:eastAsia="zh-CN" w:bidi="ar-SA"/>
        </w:rPr>
        <w:t>公务用车运行维护费</w:t>
      </w:r>
      <w:r>
        <w:rPr>
          <w:rFonts w:hint="eastAsia" w:ascii="仿宋_GB2312" w:hAnsi="仿宋" w:cs="Times New Roman"/>
          <w:kern w:val="2"/>
          <w:sz w:val="32"/>
          <w:szCs w:val="32"/>
          <w:lang w:val="en-US" w:eastAsia="zh-CN" w:bidi="ar-SA"/>
        </w:rPr>
        <w:t>支出</w:t>
      </w:r>
      <w:r>
        <w:rPr>
          <w:rFonts w:hint="eastAsia" w:ascii="仿宋_GB2312" w:hAnsi="仿宋" w:cs="Times New Roman"/>
          <w:kern w:val="2"/>
          <w:sz w:val="32"/>
          <w:szCs w:val="32"/>
          <w:lang w:val="zh-CN" w:eastAsia="zh-CN" w:bidi="ar-SA"/>
        </w:rPr>
        <w:t>决算为17万元，主要用于公务用车的燃料费、维修费、过桥过路费、保险费等支出</w:t>
      </w:r>
      <w:r>
        <w:rPr>
          <w:rFonts w:hint="eastAsia" w:ascii="仿宋_GB2312" w:hAnsi="仿宋" w:cs="Times New Roman"/>
          <w:kern w:val="2"/>
          <w:sz w:val="32"/>
          <w:szCs w:val="32"/>
          <w:lang w:val="en-US" w:eastAsia="zh-CN" w:bidi="ar-SA"/>
        </w:rPr>
        <w:t>。</w:t>
      </w:r>
      <w:r>
        <w:rPr>
          <w:rFonts w:hint="eastAsia" w:ascii="仿宋_GB2312" w:hAnsi="仿宋" w:cs="Times New Roman"/>
          <w:kern w:val="2"/>
          <w:sz w:val="32"/>
          <w:szCs w:val="32"/>
          <w:lang w:val="zh-CN" w:eastAsia="zh-CN" w:bidi="ar-SA"/>
        </w:rPr>
        <w:t>截止</w:t>
      </w:r>
      <w:r>
        <w:rPr>
          <w:rFonts w:hint="eastAsia" w:ascii="仿宋_GB2312" w:hAnsi="仿宋" w:cs="Times New Roman"/>
          <w:kern w:val="2"/>
          <w:sz w:val="32"/>
          <w:szCs w:val="32"/>
          <w:lang w:val="en-US" w:eastAsia="zh-CN" w:bidi="ar-SA"/>
        </w:rPr>
        <w:t>2021年12月31日，开支财政拨款的公务用车保有量为15辆。</w:t>
      </w:r>
    </w:p>
    <w:p>
      <w:pPr>
        <w:ind w:firstLine="640" w:firstLineChars="200"/>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en-US" w:eastAsia="zh-CN" w:bidi="ar-SA"/>
        </w:rPr>
        <w:t>3.</w:t>
      </w:r>
      <w:r>
        <w:rPr>
          <w:rFonts w:hint="eastAsia" w:ascii="仿宋_GB2312" w:hAnsi="仿宋" w:cs="Times New Roman"/>
          <w:kern w:val="2"/>
          <w:sz w:val="32"/>
          <w:szCs w:val="32"/>
          <w:lang w:val="zh-CN" w:eastAsia="zh-CN" w:bidi="ar-SA"/>
        </w:rPr>
        <w:t>公务接待费全年预算数为</w:t>
      </w:r>
      <w:r>
        <w:rPr>
          <w:rFonts w:hint="eastAsia" w:ascii="仿宋_GB2312" w:hAnsi="仿宋" w:cs="Times New Roman"/>
          <w:kern w:val="2"/>
          <w:sz w:val="32"/>
          <w:szCs w:val="32"/>
          <w:lang w:val="en-US" w:eastAsia="zh-CN" w:bidi="ar-SA"/>
        </w:rPr>
        <w:t>22万元，支出</w:t>
      </w:r>
      <w:r>
        <w:rPr>
          <w:rFonts w:hint="eastAsia" w:ascii="仿宋_GB2312" w:hAnsi="仿宋" w:cs="Times New Roman"/>
          <w:kern w:val="2"/>
          <w:sz w:val="32"/>
          <w:szCs w:val="32"/>
          <w:lang w:val="zh-CN" w:eastAsia="zh-CN" w:bidi="ar-SA"/>
        </w:rPr>
        <w:t>决算为13.15万元，完成预算的</w:t>
      </w:r>
      <w:r>
        <w:rPr>
          <w:rFonts w:hint="eastAsia" w:ascii="仿宋_GB2312" w:hAnsi="仿宋" w:cs="Times New Roman"/>
          <w:kern w:val="2"/>
          <w:sz w:val="32"/>
          <w:szCs w:val="32"/>
          <w:lang w:val="en-US" w:eastAsia="zh-CN" w:bidi="ar-SA"/>
        </w:rPr>
        <w:t>59.8%</w:t>
      </w:r>
      <w:r>
        <w:rPr>
          <w:rFonts w:hint="eastAsia" w:ascii="仿宋_GB2312" w:hAnsi="仿宋" w:cs="Times New Roman"/>
          <w:kern w:val="2"/>
          <w:sz w:val="32"/>
          <w:szCs w:val="32"/>
          <w:lang w:val="zh-CN" w:eastAsia="zh-CN" w:bidi="ar-SA"/>
        </w:rPr>
        <w:t>。与2020年度决算相比减少6.85万元，下降34.3%。与2021年度年初预算和2020年度决算数相比均减少的主要原因是严格执行中央及省委、省政府有关政策规定，严格加强财务管理，厉行节约，压缩一般性支出。</w:t>
      </w:r>
      <w:r>
        <w:rPr>
          <w:rFonts w:hint="eastAsia" w:ascii="仿宋_GB2312" w:hAnsi="仿宋_GB2312" w:cs="仿宋_GB2312"/>
        </w:rPr>
        <w:t>本年无外宾接待支出，接待对象主要是襄阳市其</w:t>
      </w:r>
      <w:r>
        <w:rPr>
          <w:rFonts w:hint="eastAsia" w:ascii="仿宋_GB2312"/>
          <w:color w:val="000000"/>
          <w:szCs w:val="32"/>
        </w:rPr>
        <w:t>他县市法院，主要是开展案件交流、协助、考察学习工作。</w:t>
      </w:r>
      <w:r>
        <w:rPr>
          <w:rFonts w:hint="eastAsia" w:ascii="仿宋_GB2312" w:hAnsi="仿宋" w:cs="Times New Roman"/>
          <w:kern w:val="2"/>
          <w:sz w:val="32"/>
          <w:szCs w:val="32"/>
          <w:lang w:val="zh-CN" w:eastAsia="zh-CN" w:bidi="ar-SA"/>
        </w:rPr>
        <w:t>全年公务接待批次90次，接待人次1500人。</w:t>
      </w:r>
    </w:p>
    <w:p>
      <w:pPr>
        <w:ind w:firstLine="641" w:firstLineChars="200"/>
        <w:outlineLvl w:val="1"/>
        <w:rPr>
          <w:rFonts w:hint="eastAsia" w:ascii="华文楷体" w:hAnsi="华文楷体" w:eastAsia="华文楷体" w:cs="黑体"/>
          <w:b/>
          <w:bCs/>
          <w:szCs w:val="32"/>
        </w:rPr>
      </w:pPr>
      <w:r>
        <w:rPr>
          <w:rFonts w:hint="eastAsia" w:ascii="华文楷体" w:hAnsi="华文楷体" w:eastAsia="华文楷体" w:cs="黑体"/>
          <w:b/>
          <w:bCs/>
          <w:szCs w:val="32"/>
          <w:lang w:eastAsia="zh-CN"/>
        </w:rPr>
        <w:t>十</w:t>
      </w:r>
      <w:r>
        <w:rPr>
          <w:rFonts w:hint="eastAsia" w:ascii="华文楷体" w:hAnsi="华文楷体" w:eastAsia="华文楷体" w:cs="黑体"/>
          <w:b/>
          <w:bCs/>
          <w:szCs w:val="32"/>
        </w:rPr>
        <w:t>、机关运行经费支出说明</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2021年度机关运行经费支出275.12万元，其中：办公费36.63万元、印刷费2.65万元、手续费0.26万元、水费0.65万元、电费18.84万元、邮电费3.6万元、物业管理费19.39万元、差旅费4.7万元、维修（护）费5.55万元、公务接待费13.15万元、劳务费33.62万元、委托业务费20.74万元、工会经费27.72万元、福利费1.95万元、公务用车运行维护费17万元、其他交通费用15.67万元、其他商品和服务支出53万元。</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2021年度机关运行经费支出比年初预算减少31.55万元，下降10.3%。下降的主要原因是落实过紧日子要求，压减一般性支出，厉行节俭，减少机关运行相关开支。</w:t>
      </w:r>
    </w:p>
    <w:p>
      <w:pPr>
        <w:ind w:firstLine="641" w:firstLineChars="200"/>
        <w:outlineLvl w:val="1"/>
        <w:rPr>
          <w:rFonts w:hint="eastAsia" w:ascii="华文楷体" w:hAnsi="华文楷体" w:eastAsia="华文楷体" w:cs="黑体"/>
          <w:b/>
          <w:bCs/>
          <w:szCs w:val="32"/>
          <w:lang w:eastAsia="zh-CN"/>
        </w:rPr>
      </w:pPr>
      <w:r>
        <w:rPr>
          <w:rFonts w:hint="eastAsia" w:ascii="华文楷体" w:hAnsi="华文楷体" w:eastAsia="华文楷体" w:cs="黑体"/>
          <w:b/>
          <w:bCs/>
          <w:szCs w:val="32"/>
          <w:lang w:eastAsia="zh-CN"/>
        </w:rPr>
        <w:t>十一、政府采购支出说明</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2021年度法院政府采购支出总金额106.02万元，其中：政府采购货物支出63.19万元、政府采购服务支出42.84万元。授予中小企业合同金额106.02万元，占政府采购支出总额的100%，其中：授予小微企业合同金额93.09万元，占政府采购支出总额的87.8%。</w:t>
      </w:r>
    </w:p>
    <w:p>
      <w:pPr>
        <w:ind w:firstLine="641" w:firstLineChars="200"/>
        <w:outlineLvl w:val="1"/>
        <w:rPr>
          <w:rFonts w:hint="eastAsia" w:ascii="华文楷体" w:hAnsi="华文楷体" w:eastAsia="华文楷体" w:cs="黑体"/>
          <w:b/>
          <w:bCs/>
          <w:szCs w:val="32"/>
          <w:lang w:eastAsia="zh-CN"/>
        </w:rPr>
      </w:pPr>
      <w:r>
        <w:rPr>
          <w:rFonts w:hint="eastAsia" w:ascii="华文楷体" w:hAnsi="华文楷体" w:eastAsia="华文楷体" w:cs="黑体"/>
          <w:b/>
          <w:bCs/>
          <w:szCs w:val="32"/>
          <w:lang w:eastAsia="zh-CN"/>
        </w:rPr>
        <w:t>十二、国有资产占有情况说明</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截止2021年12月31日，部门共有车辆15辆，包括：应急保障用车2辆、执法执勤用车10辆、特种专业技术用车3辆；单位价值50万元(含)以上通用设备3台，单价100万元(含)以上专用设备0台。</w:t>
      </w:r>
    </w:p>
    <w:p>
      <w:pPr>
        <w:ind w:firstLine="641" w:firstLineChars="200"/>
        <w:outlineLvl w:val="1"/>
        <w:rPr>
          <w:rFonts w:hint="eastAsia" w:ascii="华文楷体" w:hAnsi="华文楷体" w:eastAsia="华文楷体" w:cs="黑体"/>
          <w:b/>
          <w:bCs/>
          <w:szCs w:val="32"/>
          <w:lang w:eastAsia="zh-CN"/>
        </w:rPr>
      </w:pPr>
      <w:r>
        <w:rPr>
          <w:rFonts w:hint="eastAsia" w:ascii="华文楷体" w:hAnsi="华文楷体" w:eastAsia="华文楷体" w:cs="黑体"/>
          <w:b/>
          <w:bCs/>
          <w:szCs w:val="32"/>
          <w:lang w:eastAsia="zh-CN"/>
        </w:rPr>
        <w:t>十三、预算绩效情况说明</w:t>
      </w:r>
    </w:p>
    <w:p>
      <w:pPr>
        <w:pStyle w:val="12"/>
        <w:keepNext w:val="0"/>
        <w:keepLines w:val="0"/>
        <w:pageBreakBefore w:val="0"/>
        <w:widowControl w:val="0"/>
        <w:kinsoku/>
        <w:wordWrap/>
        <w:overflowPunct/>
        <w:topLinePunct w:val="0"/>
        <w:bidi w:val="0"/>
        <w:snapToGrid/>
        <w:ind w:left="-320" w:leftChars="-100" w:right="-320" w:rightChars="-100" w:firstLine="640" w:firstLineChars="200"/>
        <w:textAlignment w:val="auto"/>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zh-CN" w:eastAsia="zh-CN" w:bidi="ar-SA"/>
        </w:rPr>
        <w:t>（一）预算绩效管理工作开展情况</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根据预算绩效管理要求，我院对2021年度一般公共预算项目支出全面开展绩效自评，共涉及二级项目1个，资金65.12万元，占一般公共预算项目支出总额的23.1%。从评价情况来看，项目符合国家政策，立项规范，项目实施规范有序，指标完成情况较好，社会效益较为显著，达到预期目标。</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组织开展部门整体支出绩效评价，评价情况来看，2021年度部门整体绩效自评得分91.11分，预算编制基本合理，预算执行严格有效，严格遵守国库集中支付制度，严格执行各项财经法规和会计制度，产出及效益成果较好。</w:t>
      </w:r>
    </w:p>
    <w:p>
      <w:pPr>
        <w:pStyle w:val="12"/>
        <w:ind w:left="-320" w:leftChars="-100" w:right="-320" w:rightChars="-100"/>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zh-CN" w:eastAsia="zh-CN" w:bidi="ar-SA"/>
        </w:rPr>
        <w:t xml:space="preserve">（二）部门决算中项目绩效自评结果 </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我院今年在省直部门决算中反映所有项目绩效自评结果（涉密项目除外）。</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2021年度办案业务专项经费项目绩效自评综述:项目全年预算数为65.12万元，执行数为65.12万元，完成预算100%。主要产出和效益：一是案件结案率88.5%；二是案件办案成本不超预算；三是保护当事人合法权益；四是促进经济发展社会和谐稳定,五是公众比较满意。</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发现的问题及原因: 绩效管理工作由财务部门主导，业务部门参与度低。部分绩效指标相关性、代表性、可衡量性有待提高，目标值设置准确性有待提高的问题。</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下一步改进措施：加强全院预算绩效管理宣传与培训力度，深化全员参与预算绩效管理观念，加强绩效目标的科学性，体现出绩效目标对项目实施的考核和鞭策作用。</w:t>
      </w:r>
    </w:p>
    <w:p>
      <w:pPr>
        <w:pStyle w:val="12"/>
        <w:ind w:left="-320" w:leftChars="-100" w:right="-320" w:rightChars="-100"/>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zh-CN" w:eastAsia="zh-CN" w:bidi="ar-SA"/>
        </w:rPr>
        <w:t>（三）绩效评价结果应用情况</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1.部门绩效评价结果应用情况</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一是将绩效评价结果及时反馈给项目实施部门，加强项目预算执行和绩效目标完成情况管理，指导项目开展实施、完善项目绩效考核指标;二是强化评价结果与预算安排相结合，针对评价结果不理想的项目，减少资金安排。</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2.部门绩效评价结果拟应用情况</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根据绩效结果，进一步提高对预算绩效管理工作的认识和重视程度，将绩效评价结果作为下年度资金安排、预算编制、绩效目标调整的重要依据，促进预算资金合理使用；进一步优化评价指标体系，改变各职能部门重资金使用、轻绩效管理的传统观念，提升绩效管理水平。</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因我院部门整体支出绩效自评表及项目绩效自评表篇幅较长，作为附件附后。</w:t>
      </w:r>
    </w:p>
    <w:p>
      <w:pPr>
        <w:pStyle w:val="2"/>
        <w:ind w:left="640"/>
        <w:rPr>
          <w:rFonts w:hint="eastAsia" w:ascii="华文楷体" w:hAnsi="华文楷体" w:eastAsia="华文楷体" w:cs="黑体"/>
          <w:b/>
          <w:bCs/>
          <w:szCs w:val="32"/>
        </w:rPr>
      </w:pPr>
      <w:bookmarkStart w:id="25" w:name="_Toc12154"/>
      <w:bookmarkStart w:id="26" w:name="_Toc32113"/>
      <w:bookmarkStart w:id="27" w:name="_Toc5581"/>
      <w:r>
        <w:rPr>
          <w:rFonts w:hint="eastAsia" w:ascii="华文楷体" w:hAnsi="华文楷体" w:eastAsia="华文楷体" w:cs="黑体"/>
          <w:b/>
          <w:bCs/>
          <w:szCs w:val="32"/>
        </w:rPr>
        <w:t>十四、财政专项支出、专项转移支付支出情况说明</w:t>
      </w:r>
      <w:bookmarkEnd w:id="25"/>
      <w:bookmarkEnd w:id="26"/>
      <w:bookmarkEnd w:id="27"/>
    </w:p>
    <w:p>
      <w:pPr>
        <w:spacing w:line="560" w:lineRule="exact"/>
        <w:ind w:firstLine="640" w:firstLineChars="200"/>
        <w:rPr>
          <w:rFonts w:hint="eastAsia" w:ascii="楷体_GB2312" w:hAnsi="楷体_GB2312" w:eastAsia="楷体_GB2312" w:cs="楷体_GB2312"/>
          <w:b/>
          <w:bCs/>
          <w:szCs w:val="32"/>
        </w:rPr>
      </w:pPr>
      <w:r>
        <w:rPr>
          <w:rFonts w:hint="eastAsia"/>
        </w:rPr>
        <w:t>本单位无财政专项支出、专项转移支付支出。</w:t>
      </w:r>
    </w:p>
    <w:p>
      <w:pPr>
        <w:pStyle w:val="2"/>
        <w:ind w:leftChars="0" w:firstLine="640" w:firstLineChars="200"/>
        <w:rPr>
          <w:rFonts w:hint="eastAsia"/>
        </w:rPr>
      </w:pPr>
      <w:bookmarkStart w:id="28" w:name="_Toc27514"/>
      <w:bookmarkStart w:id="29" w:name="_Toc25798"/>
      <w:bookmarkStart w:id="30" w:name="_Toc14401"/>
      <w:bookmarkStart w:id="31" w:name="_Toc29919"/>
      <w:r>
        <w:rPr>
          <w:rFonts w:hint="eastAsia"/>
        </w:rPr>
        <w:t>第</w:t>
      </w:r>
      <w:r>
        <w:rPr>
          <w:rFonts w:hint="eastAsia"/>
          <w:lang w:eastAsia="zh-CN"/>
        </w:rPr>
        <w:t>三</w:t>
      </w:r>
      <w:r>
        <w:rPr>
          <w:rFonts w:hint="eastAsia"/>
        </w:rPr>
        <w:t>部分  其他需要说明的情况</w:t>
      </w:r>
      <w:bookmarkEnd w:id="28"/>
      <w:bookmarkEnd w:id="29"/>
      <w:bookmarkEnd w:id="30"/>
      <w:bookmarkEnd w:id="31"/>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（一）2021年度法院决算公开表见附件，法院2021年度无政府性基金预算财政拨款收支、国有资本经营预算财政拨款收支、财政专项支出、专项转移支付支出，故2021年度</w:t>
      </w:r>
      <w:bookmarkStart w:id="36" w:name="_GoBack"/>
      <w:bookmarkEnd w:id="36"/>
      <w:r>
        <w:rPr>
          <w:rFonts w:hint="eastAsia" w:ascii="仿宋_GB2312" w:hAnsi="仿宋" w:cs="Times New Roman"/>
          <w:kern w:val="2"/>
          <w:sz w:val="32"/>
          <w:szCs w:val="32"/>
          <w:lang w:val="zh-CN" w:eastAsia="zh-CN" w:bidi="ar-SA"/>
        </w:rPr>
        <w:t>决算公开表中表8《政府性基金预算财政拨款收入支出决算表》、表9《国有资本经营预算财政拨款支出决算表》为空表；</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（二）公开表数据单位均为万元，因数据四舍五入的原因，部分数据合计数与分项之间存在细微的差额。</w:t>
      </w:r>
    </w:p>
    <w:p>
      <w:pPr>
        <w:pStyle w:val="2"/>
        <w:ind w:left="640"/>
        <w:rPr>
          <w:rFonts w:hint="eastAsia" w:ascii="黑体" w:hAnsi="黑体" w:cs="黑体"/>
          <w:szCs w:val="32"/>
        </w:rPr>
      </w:pPr>
      <w:bookmarkStart w:id="32" w:name="_Toc10601"/>
      <w:bookmarkStart w:id="33" w:name="_Toc1723"/>
      <w:bookmarkStart w:id="34" w:name="_Toc9703"/>
      <w:bookmarkStart w:id="35" w:name="_Toc2439"/>
      <w:r>
        <w:rPr>
          <w:rFonts w:hint="eastAsia"/>
        </w:rPr>
        <w:t>第</w:t>
      </w:r>
      <w:r>
        <w:rPr>
          <w:rFonts w:hint="eastAsia"/>
          <w:lang w:eastAsia="zh-CN"/>
        </w:rPr>
        <w:t>四</w:t>
      </w:r>
      <w:r>
        <w:rPr>
          <w:rFonts w:hint="eastAsia"/>
        </w:rPr>
        <w:t>部分  名词解释</w:t>
      </w:r>
      <w:bookmarkEnd w:id="32"/>
      <w:bookmarkEnd w:id="33"/>
      <w:bookmarkEnd w:id="34"/>
      <w:bookmarkEnd w:id="35"/>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（一）财政拨款收入：指省财政当年拨付的资金。</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（二）其他收入：指除财政拨款收入以外的收入。主要是按规定动用的地方政府拨款收入、补助收入等。</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（三）基本支出：指为保障机构正常运转、完成日常工作任务而发生的人员支出和公用支出。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（四）项目支出：指在基本支出之外为完成特定行政任务和事业发展目标所发生的支出。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五）“三公”经费财政拨款支出：指通过财政拨款资金安排的因公出国（境）费、公务用车购置及运行费和公务接待费支出。其中因公出国（境）费指单位工作人员公务出国（境）的往返机票费、住宿费、伙食费、培训费等支出；公务用车购置及运行费指单位购置公务用车支出及公务用车使用过程中所发生的租用费、燃料费、维修费、过路过桥费、保险费等支出；公务接待费指单位按规定开支的各类公务接待（含外宾接待）支出。</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（六）行政运行：指行政单位的基本支出。</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（七）一般行政管理事务：指行政单位未单独设置项级科目的其他项目支出。</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（八）机关服务：指行政单位提供后勤服务的各类后勤服务中心、医务室等附属事业单位的支出。</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（九）案件审判：指人民法院对刑事、民事、行政、涉外等案件审判活动的支出。</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（十）其他法院支出：指除上述项目以外其他用于法院方面的支出。</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 xml:space="preserve"> (十一)机关运行经费：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（十二）年初结转和结余：指以前年度尚未完成、结转到本年仍按原规定用途继续使用的资金，或项目已完成等产生的结余资金。</w:t>
      </w:r>
    </w:p>
    <w:p>
      <w:pPr>
        <w:keepNext w:val="0"/>
        <w:keepLines w:val="0"/>
        <w:pageBreakBefore w:val="0"/>
        <w:widowControl w:val="0"/>
        <w:kinsoku/>
        <w:wordWrap/>
        <w:overflowPunct/>
        <w:topLinePunct w:val="0"/>
        <w:autoSpaceDE w:val="0"/>
        <w:autoSpaceDN w:val="0"/>
        <w:bidi w:val="0"/>
        <w:adjustRightInd w:val="0"/>
        <w:snapToGrid/>
        <w:spacing w:line="160" w:lineRule="atLeast"/>
        <w:ind w:right="-320" w:rightChars="-100" w:firstLine="640" w:firstLineChars="200"/>
        <w:textAlignment w:val="auto"/>
        <w:rPr>
          <w:rFonts w:hint="eastAsia" w:ascii="仿宋_GB2312" w:hAnsi="仿宋" w:cs="Times New Roman"/>
          <w:kern w:val="2"/>
          <w:sz w:val="32"/>
          <w:szCs w:val="32"/>
          <w:lang w:val="zh-CN" w:eastAsia="zh-CN" w:bidi="ar-SA"/>
        </w:rPr>
      </w:pPr>
      <w:r>
        <w:rPr>
          <w:rFonts w:hint="eastAsia" w:ascii="仿宋_GB2312" w:hAnsi="仿宋" w:cs="Times New Roman"/>
          <w:kern w:val="2"/>
          <w:sz w:val="32"/>
          <w:szCs w:val="32"/>
          <w:lang w:val="zh-CN" w:eastAsia="zh-CN" w:bidi="ar-SA"/>
        </w:rPr>
        <w:t>（十三）年末结转和结余：指单位按有关规定结转到下年或以后年度继续使用的资金，或项目已完成等产生的结余资金。</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eastAsia="zh-CN"/>
      </w:rPr>
      <w:t>1</w:t>
    </w:r>
    <w:r>
      <w:rPr>
        <w:lang w:val="zh-CN" w:eastAsia="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C6E14E"/>
    <w:multiLevelType w:val="singleLevel"/>
    <w:tmpl w:val="F8C6E14E"/>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ZDhkNGI1ZWMwN2Q1Njk1ZGM0ODc2YmM0YTk2N2EifQ=="/>
  </w:docVars>
  <w:rsids>
    <w:rsidRoot w:val="00325419"/>
    <w:rsid w:val="00000181"/>
    <w:rsid w:val="00000986"/>
    <w:rsid w:val="00000DE0"/>
    <w:rsid w:val="00006961"/>
    <w:rsid w:val="0000756A"/>
    <w:rsid w:val="000120B2"/>
    <w:rsid w:val="000234DD"/>
    <w:rsid w:val="000263B0"/>
    <w:rsid w:val="000324C2"/>
    <w:rsid w:val="00032F5E"/>
    <w:rsid w:val="000340CF"/>
    <w:rsid w:val="00042FA1"/>
    <w:rsid w:val="00051224"/>
    <w:rsid w:val="000515C9"/>
    <w:rsid w:val="00057D6C"/>
    <w:rsid w:val="00057F7F"/>
    <w:rsid w:val="00061A2B"/>
    <w:rsid w:val="00061A44"/>
    <w:rsid w:val="00070904"/>
    <w:rsid w:val="00073979"/>
    <w:rsid w:val="00077C9B"/>
    <w:rsid w:val="00082A99"/>
    <w:rsid w:val="00082B57"/>
    <w:rsid w:val="00086557"/>
    <w:rsid w:val="00094C90"/>
    <w:rsid w:val="00097F0C"/>
    <w:rsid w:val="000A0902"/>
    <w:rsid w:val="000B4656"/>
    <w:rsid w:val="000B76B2"/>
    <w:rsid w:val="000C1BEF"/>
    <w:rsid w:val="000C4904"/>
    <w:rsid w:val="000C7486"/>
    <w:rsid w:val="000E0DE7"/>
    <w:rsid w:val="000E1E43"/>
    <w:rsid w:val="000E2F51"/>
    <w:rsid w:val="000F0589"/>
    <w:rsid w:val="000F1B33"/>
    <w:rsid w:val="000F3126"/>
    <w:rsid w:val="000F67F7"/>
    <w:rsid w:val="000F7CE5"/>
    <w:rsid w:val="0010415A"/>
    <w:rsid w:val="00104478"/>
    <w:rsid w:val="00105B8B"/>
    <w:rsid w:val="0010666E"/>
    <w:rsid w:val="00106FE8"/>
    <w:rsid w:val="001109E1"/>
    <w:rsid w:val="00130B44"/>
    <w:rsid w:val="00134A93"/>
    <w:rsid w:val="00135B55"/>
    <w:rsid w:val="0014796A"/>
    <w:rsid w:val="00154715"/>
    <w:rsid w:val="0017544B"/>
    <w:rsid w:val="001772B6"/>
    <w:rsid w:val="00190385"/>
    <w:rsid w:val="001A6B91"/>
    <w:rsid w:val="001C1D36"/>
    <w:rsid w:val="001C4F3B"/>
    <w:rsid w:val="001C5708"/>
    <w:rsid w:val="001E0906"/>
    <w:rsid w:val="001E63B9"/>
    <w:rsid w:val="0021320F"/>
    <w:rsid w:val="00213F23"/>
    <w:rsid w:val="00215712"/>
    <w:rsid w:val="002208BD"/>
    <w:rsid w:val="00224D75"/>
    <w:rsid w:val="0023027B"/>
    <w:rsid w:val="00230E4A"/>
    <w:rsid w:val="00233BD8"/>
    <w:rsid w:val="00237682"/>
    <w:rsid w:val="0024067B"/>
    <w:rsid w:val="00242629"/>
    <w:rsid w:val="00242A6A"/>
    <w:rsid w:val="00247E1C"/>
    <w:rsid w:val="002513B3"/>
    <w:rsid w:val="00256E30"/>
    <w:rsid w:val="0026235E"/>
    <w:rsid w:val="0026476C"/>
    <w:rsid w:val="00274804"/>
    <w:rsid w:val="00280AE2"/>
    <w:rsid w:val="00282BB0"/>
    <w:rsid w:val="00282FE7"/>
    <w:rsid w:val="00286F0D"/>
    <w:rsid w:val="0029247B"/>
    <w:rsid w:val="002A234B"/>
    <w:rsid w:val="002B16A9"/>
    <w:rsid w:val="002B2841"/>
    <w:rsid w:val="002B2DB8"/>
    <w:rsid w:val="002B7AB2"/>
    <w:rsid w:val="002C07AA"/>
    <w:rsid w:val="002C5F05"/>
    <w:rsid w:val="002C7A58"/>
    <w:rsid w:val="002D0C3C"/>
    <w:rsid w:val="002D2273"/>
    <w:rsid w:val="002E5E34"/>
    <w:rsid w:val="002F4DF7"/>
    <w:rsid w:val="002F7C2A"/>
    <w:rsid w:val="0030112A"/>
    <w:rsid w:val="00304F6F"/>
    <w:rsid w:val="00306156"/>
    <w:rsid w:val="00306A2E"/>
    <w:rsid w:val="00307072"/>
    <w:rsid w:val="00322A2A"/>
    <w:rsid w:val="00322E88"/>
    <w:rsid w:val="00325419"/>
    <w:rsid w:val="003301B7"/>
    <w:rsid w:val="003452A5"/>
    <w:rsid w:val="00345689"/>
    <w:rsid w:val="003509B9"/>
    <w:rsid w:val="00352AA2"/>
    <w:rsid w:val="003534E4"/>
    <w:rsid w:val="003535F6"/>
    <w:rsid w:val="0035449B"/>
    <w:rsid w:val="00355449"/>
    <w:rsid w:val="00356A23"/>
    <w:rsid w:val="00360EDF"/>
    <w:rsid w:val="003668E5"/>
    <w:rsid w:val="00371364"/>
    <w:rsid w:val="003726B6"/>
    <w:rsid w:val="00374F72"/>
    <w:rsid w:val="00381189"/>
    <w:rsid w:val="00384B32"/>
    <w:rsid w:val="003851A4"/>
    <w:rsid w:val="0039080B"/>
    <w:rsid w:val="00390CFC"/>
    <w:rsid w:val="00393883"/>
    <w:rsid w:val="0039629B"/>
    <w:rsid w:val="003978B9"/>
    <w:rsid w:val="00397932"/>
    <w:rsid w:val="00397C1F"/>
    <w:rsid w:val="003A7FE5"/>
    <w:rsid w:val="003B2A46"/>
    <w:rsid w:val="003B3B6E"/>
    <w:rsid w:val="003B4F78"/>
    <w:rsid w:val="003C18F6"/>
    <w:rsid w:val="003C4F63"/>
    <w:rsid w:val="003C5F11"/>
    <w:rsid w:val="003D008A"/>
    <w:rsid w:val="003D2774"/>
    <w:rsid w:val="003D7F74"/>
    <w:rsid w:val="003E1762"/>
    <w:rsid w:val="003E56A9"/>
    <w:rsid w:val="003E64FD"/>
    <w:rsid w:val="003F19AD"/>
    <w:rsid w:val="003F2F3B"/>
    <w:rsid w:val="003F314B"/>
    <w:rsid w:val="003F7236"/>
    <w:rsid w:val="004015F2"/>
    <w:rsid w:val="004058E7"/>
    <w:rsid w:val="00406BB9"/>
    <w:rsid w:val="00407322"/>
    <w:rsid w:val="004128CA"/>
    <w:rsid w:val="004131D1"/>
    <w:rsid w:val="00416E5D"/>
    <w:rsid w:val="004230F4"/>
    <w:rsid w:val="004341DD"/>
    <w:rsid w:val="004409B5"/>
    <w:rsid w:val="00441315"/>
    <w:rsid w:val="00441A94"/>
    <w:rsid w:val="00442D2B"/>
    <w:rsid w:val="004449F3"/>
    <w:rsid w:val="0045473C"/>
    <w:rsid w:val="0046641D"/>
    <w:rsid w:val="00470288"/>
    <w:rsid w:val="00471D01"/>
    <w:rsid w:val="00474098"/>
    <w:rsid w:val="00477E8B"/>
    <w:rsid w:val="0048034E"/>
    <w:rsid w:val="00483906"/>
    <w:rsid w:val="004843F9"/>
    <w:rsid w:val="004852FE"/>
    <w:rsid w:val="004855B0"/>
    <w:rsid w:val="004963A0"/>
    <w:rsid w:val="00497797"/>
    <w:rsid w:val="004A1C49"/>
    <w:rsid w:val="004A4F29"/>
    <w:rsid w:val="004A7797"/>
    <w:rsid w:val="004B31C5"/>
    <w:rsid w:val="004B395F"/>
    <w:rsid w:val="004C3274"/>
    <w:rsid w:val="004C52F4"/>
    <w:rsid w:val="004C64D4"/>
    <w:rsid w:val="004D1679"/>
    <w:rsid w:val="004D4AED"/>
    <w:rsid w:val="004D7D88"/>
    <w:rsid w:val="004E1775"/>
    <w:rsid w:val="004E2879"/>
    <w:rsid w:val="004E4F6D"/>
    <w:rsid w:val="004E590E"/>
    <w:rsid w:val="004F2921"/>
    <w:rsid w:val="004F6C5F"/>
    <w:rsid w:val="00503B46"/>
    <w:rsid w:val="00510358"/>
    <w:rsid w:val="00510BFF"/>
    <w:rsid w:val="005138F9"/>
    <w:rsid w:val="005211CC"/>
    <w:rsid w:val="00522C11"/>
    <w:rsid w:val="00524B96"/>
    <w:rsid w:val="0052777A"/>
    <w:rsid w:val="00530550"/>
    <w:rsid w:val="00531222"/>
    <w:rsid w:val="005425BC"/>
    <w:rsid w:val="00555580"/>
    <w:rsid w:val="005564F3"/>
    <w:rsid w:val="00562A7B"/>
    <w:rsid w:val="00573C84"/>
    <w:rsid w:val="00573FE7"/>
    <w:rsid w:val="005775B2"/>
    <w:rsid w:val="00581B81"/>
    <w:rsid w:val="00583228"/>
    <w:rsid w:val="005944B9"/>
    <w:rsid w:val="00595A90"/>
    <w:rsid w:val="0059647B"/>
    <w:rsid w:val="0059726E"/>
    <w:rsid w:val="005A1EC5"/>
    <w:rsid w:val="005A2B93"/>
    <w:rsid w:val="005A5629"/>
    <w:rsid w:val="005A583E"/>
    <w:rsid w:val="005A65EA"/>
    <w:rsid w:val="005A6A1A"/>
    <w:rsid w:val="005C1FEC"/>
    <w:rsid w:val="005C41AB"/>
    <w:rsid w:val="005C5356"/>
    <w:rsid w:val="005D2F19"/>
    <w:rsid w:val="005D5D62"/>
    <w:rsid w:val="005E0C59"/>
    <w:rsid w:val="005E5E29"/>
    <w:rsid w:val="005F48F0"/>
    <w:rsid w:val="00601152"/>
    <w:rsid w:val="006040BF"/>
    <w:rsid w:val="006058CF"/>
    <w:rsid w:val="00607AF4"/>
    <w:rsid w:val="006121BA"/>
    <w:rsid w:val="006242B6"/>
    <w:rsid w:val="0063321C"/>
    <w:rsid w:val="00645747"/>
    <w:rsid w:val="00654A44"/>
    <w:rsid w:val="006605EA"/>
    <w:rsid w:val="006613A6"/>
    <w:rsid w:val="00662478"/>
    <w:rsid w:val="00663BD4"/>
    <w:rsid w:val="006709BE"/>
    <w:rsid w:val="006813CF"/>
    <w:rsid w:val="0068347F"/>
    <w:rsid w:val="00683F1C"/>
    <w:rsid w:val="00686678"/>
    <w:rsid w:val="006A1183"/>
    <w:rsid w:val="006A1488"/>
    <w:rsid w:val="006A7619"/>
    <w:rsid w:val="006C7A60"/>
    <w:rsid w:val="006C7B5E"/>
    <w:rsid w:val="006D39DA"/>
    <w:rsid w:val="006E79A0"/>
    <w:rsid w:val="006F1075"/>
    <w:rsid w:val="006F1C47"/>
    <w:rsid w:val="00704D6C"/>
    <w:rsid w:val="00706676"/>
    <w:rsid w:val="00723A95"/>
    <w:rsid w:val="00732169"/>
    <w:rsid w:val="00734657"/>
    <w:rsid w:val="00737D5A"/>
    <w:rsid w:val="00742528"/>
    <w:rsid w:val="0074788B"/>
    <w:rsid w:val="00750D4E"/>
    <w:rsid w:val="00752169"/>
    <w:rsid w:val="00756367"/>
    <w:rsid w:val="007651F9"/>
    <w:rsid w:val="00771F59"/>
    <w:rsid w:val="00776B91"/>
    <w:rsid w:val="00777108"/>
    <w:rsid w:val="00782A81"/>
    <w:rsid w:val="00785563"/>
    <w:rsid w:val="00794D26"/>
    <w:rsid w:val="00795928"/>
    <w:rsid w:val="007A4ABE"/>
    <w:rsid w:val="007B169A"/>
    <w:rsid w:val="007B5256"/>
    <w:rsid w:val="007B7310"/>
    <w:rsid w:val="007C3D47"/>
    <w:rsid w:val="007C47CE"/>
    <w:rsid w:val="007E09E5"/>
    <w:rsid w:val="007E21DB"/>
    <w:rsid w:val="007E5BE6"/>
    <w:rsid w:val="007E7C48"/>
    <w:rsid w:val="007E7FA2"/>
    <w:rsid w:val="007F2617"/>
    <w:rsid w:val="007F3130"/>
    <w:rsid w:val="008042E9"/>
    <w:rsid w:val="00807E0E"/>
    <w:rsid w:val="008229F2"/>
    <w:rsid w:val="008348CA"/>
    <w:rsid w:val="0083628D"/>
    <w:rsid w:val="0083681A"/>
    <w:rsid w:val="00836AC6"/>
    <w:rsid w:val="00841BC7"/>
    <w:rsid w:val="00841F96"/>
    <w:rsid w:val="00842E4F"/>
    <w:rsid w:val="008432DF"/>
    <w:rsid w:val="008447A8"/>
    <w:rsid w:val="008574B0"/>
    <w:rsid w:val="008958E8"/>
    <w:rsid w:val="008A23F8"/>
    <w:rsid w:val="008B6249"/>
    <w:rsid w:val="008B7A39"/>
    <w:rsid w:val="008C1669"/>
    <w:rsid w:val="008C3265"/>
    <w:rsid w:val="008E38B2"/>
    <w:rsid w:val="008E76F3"/>
    <w:rsid w:val="008F21E6"/>
    <w:rsid w:val="008F55F2"/>
    <w:rsid w:val="00901BA2"/>
    <w:rsid w:val="00904BA6"/>
    <w:rsid w:val="0091387B"/>
    <w:rsid w:val="00913BE5"/>
    <w:rsid w:val="0091568A"/>
    <w:rsid w:val="00924A68"/>
    <w:rsid w:val="009270F9"/>
    <w:rsid w:val="00930707"/>
    <w:rsid w:val="00933928"/>
    <w:rsid w:val="00933B83"/>
    <w:rsid w:val="009356CC"/>
    <w:rsid w:val="00937FB7"/>
    <w:rsid w:val="00941B56"/>
    <w:rsid w:val="00944581"/>
    <w:rsid w:val="00944B79"/>
    <w:rsid w:val="00945E88"/>
    <w:rsid w:val="00945F9A"/>
    <w:rsid w:val="0094720F"/>
    <w:rsid w:val="00947DC4"/>
    <w:rsid w:val="00953C71"/>
    <w:rsid w:val="00954473"/>
    <w:rsid w:val="009623D7"/>
    <w:rsid w:val="00965852"/>
    <w:rsid w:val="009813F4"/>
    <w:rsid w:val="00981A35"/>
    <w:rsid w:val="00982964"/>
    <w:rsid w:val="00983991"/>
    <w:rsid w:val="00985234"/>
    <w:rsid w:val="00990192"/>
    <w:rsid w:val="00991731"/>
    <w:rsid w:val="00991EA4"/>
    <w:rsid w:val="009A2940"/>
    <w:rsid w:val="009A51B0"/>
    <w:rsid w:val="009B547A"/>
    <w:rsid w:val="009B7101"/>
    <w:rsid w:val="009B775C"/>
    <w:rsid w:val="009B78C5"/>
    <w:rsid w:val="009C4391"/>
    <w:rsid w:val="009D08C2"/>
    <w:rsid w:val="009D19E3"/>
    <w:rsid w:val="009D4126"/>
    <w:rsid w:val="009D4B16"/>
    <w:rsid w:val="009E606C"/>
    <w:rsid w:val="009F50E8"/>
    <w:rsid w:val="009F5168"/>
    <w:rsid w:val="009F54E3"/>
    <w:rsid w:val="00A13512"/>
    <w:rsid w:val="00A23018"/>
    <w:rsid w:val="00A3225E"/>
    <w:rsid w:val="00A36835"/>
    <w:rsid w:val="00A41D18"/>
    <w:rsid w:val="00A445B5"/>
    <w:rsid w:val="00A45618"/>
    <w:rsid w:val="00A50807"/>
    <w:rsid w:val="00A513B7"/>
    <w:rsid w:val="00A53700"/>
    <w:rsid w:val="00A55238"/>
    <w:rsid w:val="00A606CA"/>
    <w:rsid w:val="00A62290"/>
    <w:rsid w:val="00A62B29"/>
    <w:rsid w:val="00A739AC"/>
    <w:rsid w:val="00A76DC3"/>
    <w:rsid w:val="00A76ED2"/>
    <w:rsid w:val="00A859E3"/>
    <w:rsid w:val="00A90D70"/>
    <w:rsid w:val="00A96BB0"/>
    <w:rsid w:val="00AA477F"/>
    <w:rsid w:val="00AA4F18"/>
    <w:rsid w:val="00AB1936"/>
    <w:rsid w:val="00AB2618"/>
    <w:rsid w:val="00AB2919"/>
    <w:rsid w:val="00AB376F"/>
    <w:rsid w:val="00AC094A"/>
    <w:rsid w:val="00AC126D"/>
    <w:rsid w:val="00AC1912"/>
    <w:rsid w:val="00AD17B8"/>
    <w:rsid w:val="00AD7207"/>
    <w:rsid w:val="00AE0951"/>
    <w:rsid w:val="00AE3D20"/>
    <w:rsid w:val="00AE4DCB"/>
    <w:rsid w:val="00AF0BCC"/>
    <w:rsid w:val="00AF415E"/>
    <w:rsid w:val="00AF5FFD"/>
    <w:rsid w:val="00AF6F06"/>
    <w:rsid w:val="00B04839"/>
    <w:rsid w:val="00B14FC0"/>
    <w:rsid w:val="00B15DAF"/>
    <w:rsid w:val="00B16538"/>
    <w:rsid w:val="00B26F75"/>
    <w:rsid w:val="00B353CE"/>
    <w:rsid w:val="00B41186"/>
    <w:rsid w:val="00B524F0"/>
    <w:rsid w:val="00B53387"/>
    <w:rsid w:val="00B57E6A"/>
    <w:rsid w:val="00B63D3F"/>
    <w:rsid w:val="00B65A30"/>
    <w:rsid w:val="00B71109"/>
    <w:rsid w:val="00B80319"/>
    <w:rsid w:val="00B8124A"/>
    <w:rsid w:val="00B86ABB"/>
    <w:rsid w:val="00B95386"/>
    <w:rsid w:val="00BA12FD"/>
    <w:rsid w:val="00BB44E2"/>
    <w:rsid w:val="00BB790A"/>
    <w:rsid w:val="00BC114D"/>
    <w:rsid w:val="00BC15A7"/>
    <w:rsid w:val="00BC4C3E"/>
    <w:rsid w:val="00BC6CC7"/>
    <w:rsid w:val="00BE13E0"/>
    <w:rsid w:val="00BE4AFF"/>
    <w:rsid w:val="00BE65BA"/>
    <w:rsid w:val="00BE67C7"/>
    <w:rsid w:val="00BF3EA3"/>
    <w:rsid w:val="00BF4454"/>
    <w:rsid w:val="00BF5620"/>
    <w:rsid w:val="00C10798"/>
    <w:rsid w:val="00C13F89"/>
    <w:rsid w:val="00C146D2"/>
    <w:rsid w:val="00C16811"/>
    <w:rsid w:val="00C2062D"/>
    <w:rsid w:val="00C30BA8"/>
    <w:rsid w:val="00C32301"/>
    <w:rsid w:val="00C33CE8"/>
    <w:rsid w:val="00C349ED"/>
    <w:rsid w:val="00C35B70"/>
    <w:rsid w:val="00C45098"/>
    <w:rsid w:val="00C45A1B"/>
    <w:rsid w:val="00C463EA"/>
    <w:rsid w:val="00C54092"/>
    <w:rsid w:val="00C56B1D"/>
    <w:rsid w:val="00C66AF2"/>
    <w:rsid w:val="00C9561D"/>
    <w:rsid w:val="00C97DAE"/>
    <w:rsid w:val="00CA6357"/>
    <w:rsid w:val="00CB07B3"/>
    <w:rsid w:val="00CC0DA1"/>
    <w:rsid w:val="00CC51B7"/>
    <w:rsid w:val="00CC68A8"/>
    <w:rsid w:val="00CD2585"/>
    <w:rsid w:val="00CD6D8E"/>
    <w:rsid w:val="00CE2AED"/>
    <w:rsid w:val="00CE4C35"/>
    <w:rsid w:val="00CE5790"/>
    <w:rsid w:val="00CE5B11"/>
    <w:rsid w:val="00CE7293"/>
    <w:rsid w:val="00CE7CBF"/>
    <w:rsid w:val="00CF39C1"/>
    <w:rsid w:val="00CF41C9"/>
    <w:rsid w:val="00D03653"/>
    <w:rsid w:val="00D0721A"/>
    <w:rsid w:val="00D07686"/>
    <w:rsid w:val="00D23799"/>
    <w:rsid w:val="00D257E0"/>
    <w:rsid w:val="00D27239"/>
    <w:rsid w:val="00D36EDB"/>
    <w:rsid w:val="00D41D2A"/>
    <w:rsid w:val="00D46368"/>
    <w:rsid w:val="00D47958"/>
    <w:rsid w:val="00D54B72"/>
    <w:rsid w:val="00D61467"/>
    <w:rsid w:val="00D64D42"/>
    <w:rsid w:val="00D656EA"/>
    <w:rsid w:val="00D671EC"/>
    <w:rsid w:val="00D67F12"/>
    <w:rsid w:val="00D72703"/>
    <w:rsid w:val="00D73CAA"/>
    <w:rsid w:val="00D76274"/>
    <w:rsid w:val="00D76793"/>
    <w:rsid w:val="00D768C0"/>
    <w:rsid w:val="00D83757"/>
    <w:rsid w:val="00D8514C"/>
    <w:rsid w:val="00D85C1F"/>
    <w:rsid w:val="00DA3F85"/>
    <w:rsid w:val="00DA4877"/>
    <w:rsid w:val="00DA62E3"/>
    <w:rsid w:val="00DA7151"/>
    <w:rsid w:val="00DA78C2"/>
    <w:rsid w:val="00DB7093"/>
    <w:rsid w:val="00DC13F6"/>
    <w:rsid w:val="00DD2280"/>
    <w:rsid w:val="00DE5F24"/>
    <w:rsid w:val="00DE725C"/>
    <w:rsid w:val="00DE7895"/>
    <w:rsid w:val="00DF0811"/>
    <w:rsid w:val="00DF4441"/>
    <w:rsid w:val="00E01C06"/>
    <w:rsid w:val="00E1331F"/>
    <w:rsid w:val="00E1464D"/>
    <w:rsid w:val="00E547C8"/>
    <w:rsid w:val="00E60CDC"/>
    <w:rsid w:val="00E643D5"/>
    <w:rsid w:val="00E66453"/>
    <w:rsid w:val="00E726DC"/>
    <w:rsid w:val="00E75498"/>
    <w:rsid w:val="00E83088"/>
    <w:rsid w:val="00E84215"/>
    <w:rsid w:val="00E86169"/>
    <w:rsid w:val="00EA251F"/>
    <w:rsid w:val="00EA4683"/>
    <w:rsid w:val="00EA495B"/>
    <w:rsid w:val="00EA552B"/>
    <w:rsid w:val="00EA6D31"/>
    <w:rsid w:val="00EC10E7"/>
    <w:rsid w:val="00EC3D6B"/>
    <w:rsid w:val="00EC4913"/>
    <w:rsid w:val="00ED51D8"/>
    <w:rsid w:val="00ED58F9"/>
    <w:rsid w:val="00EE38BE"/>
    <w:rsid w:val="00EF2FA6"/>
    <w:rsid w:val="00F02A8F"/>
    <w:rsid w:val="00F04B22"/>
    <w:rsid w:val="00F117A1"/>
    <w:rsid w:val="00F123CE"/>
    <w:rsid w:val="00F1318E"/>
    <w:rsid w:val="00F15017"/>
    <w:rsid w:val="00F34566"/>
    <w:rsid w:val="00F41700"/>
    <w:rsid w:val="00F4231F"/>
    <w:rsid w:val="00F464B5"/>
    <w:rsid w:val="00F47835"/>
    <w:rsid w:val="00F5225A"/>
    <w:rsid w:val="00F60451"/>
    <w:rsid w:val="00F61296"/>
    <w:rsid w:val="00F72ABE"/>
    <w:rsid w:val="00F73B90"/>
    <w:rsid w:val="00F744A4"/>
    <w:rsid w:val="00F762E0"/>
    <w:rsid w:val="00F91894"/>
    <w:rsid w:val="00F96692"/>
    <w:rsid w:val="00FA25AB"/>
    <w:rsid w:val="00FC752F"/>
    <w:rsid w:val="00FE09B0"/>
    <w:rsid w:val="00FE1E00"/>
    <w:rsid w:val="00FE5B2B"/>
    <w:rsid w:val="01156905"/>
    <w:rsid w:val="029D67E9"/>
    <w:rsid w:val="02E42384"/>
    <w:rsid w:val="03A9586F"/>
    <w:rsid w:val="03B3614B"/>
    <w:rsid w:val="05971884"/>
    <w:rsid w:val="05BF13C1"/>
    <w:rsid w:val="066164F7"/>
    <w:rsid w:val="06B225F1"/>
    <w:rsid w:val="06C22B3C"/>
    <w:rsid w:val="06EC5DB2"/>
    <w:rsid w:val="07132880"/>
    <w:rsid w:val="0888779C"/>
    <w:rsid w:val="0A235758"/>
    <w:rsid w:val="0AAA7B85"/>
    <w:rsid w:val="0AB52136"/>
    <w:rsid w:val="0C7512F9"/>
    <w:rsid w:val="0E276CA7"/>
    <w:rsid w:val="0F1B70BF"/>
    <w:rsid w:val="0FB37D6F"/>
    <w:rsid w:val="0FB93A43"/>
    <w:rsid w:val="13563863"/>
    <w:rsid w:val="13997206"/>
    <w:rsid w:val="166520D6"/>
    <w:rsid w:val="180A782A"/>
    <w:rsid w:val="180E038A"/>
    <w:rsid w:val="18787DD4"/>
    <w:rsid w:val="1AAE47BA"/>
    <w:rsid w:val="1B6936CE"/>
    <w:rsid w:val="1C8949BC"/>
    <w:rsid w:val="1CAA6F5B"/>
    <w:rsid w:val="1D3E697C"/>
    <w:rsid w:val="1DB17189"/>
    <w:rsid w:val="1DB80CAA"/>
    <w:rsid w:val="1E286F1D"/>
    <w:rsid w:val="1EEB0EF9"/>
    <w:rsid w:val="1F355489"/>
    <w:rsid w:val="24006BEC"/>
    <w:rsid w:val="246E517B"/>
    <w:rsid w:val="26462974"/>
    <w:rsid w:val="28643086"/>
    <w:rsid w:val="28AD025C"/>
    <w:rsid w:val="28D84A20"/>
    <w:rsid w:val="293A1A3E"/>
    <w:rsid w:val="2B904FD5"/>
    <w:rsid w:val="2BB14A31"/>
    <w:rsid w:val="2D0829E4"/>
    <w:rsid w:val="2D427A86"/>
    <w:rsid w:val="2DAB0E1D"/>
    <w:rsid w:val="2DB770D2"/>
    <w:rsid w:val="301F194E"/>
    <w:rsid w:val="303C6A79"/>
    <w:rsid w:val="32A30DEC"/>
    <w:rsid w:val="32B81D82"/>
    <w:rsid w:val="336461C4"/>
    <w:rsid w:val="34430C23"/>
    <w:rsid w:val="350E7129"/>
    <w:rsid w:val="374534D2"/>
    <w:rsid w:val="3A4D1478"/>
    <w:rsid w:val="3B084AA1"/>
    <w:rsid w:val="3BBF2743"/>
    <w:rsid w:val="3D505E63"/>
    <w:rsid w:val="3EBB4F23"/>
    <w:rsid w:val="436E715A"/>
    <w:rsid w:val="441E1F9C"/>
    <w:rsid w:val="457A1BED"/>
    <w:rsid w:val="4B2A72C7"/>
    <w:rsid w:val="4BBB5B96"/>
    <w:rsid w:val="4C21019B"/>
    <w:rsid w:val="4CBE1552"/>
    <w:rsid w:val="4D1F6309"/>
    <w:rsid w:val="4E0C271A"/>
    <w:rsid w:val="4E3A7F70"/>
    <w:rsid w:val="4ECD6B0D"/>
    <w:rsid w:val="4ECF305A"/>
    <w:rsid w:val="4F391D0F"/>
    <w:rsid w:val="50A26F21"/>
    <w:rsid w:val="513F7B12"/>
    <w:rsid w:val="522448D5"/>
    <w:rsid w:val="5272249E"/>
    <w:rsid w:val="53153988"/>
    <w:rsid w:val="544B06FB"/>
    <w:rsid w:val="5465424F"/>
    <w:rsid w:val="555736C5"/>
    <w:rsid w:val="56602340"/>
    <w:rsid w:val="56AE2E1B"/>
    <w:rsid w:val="591A5761"/>
    <w:rsid w:val="5B066047"/>
    <w:rsid w:val="5BA05EA9"/>
    <w:rsid w:val="5D45295C"/>
    <w:rsid w:val="5FB94A3D"/>
    <w:rsid w:val="606D45F2"/>
    <w:rsid w:val="608E26A6"/>
    <w:rsid w:val="617540DD"/>
    <w:rsid w:val="62793778"/>
    <w:rsid w:val="62BF56C4"/>
    <w:rsid w:val="63183A98"/>
    <w:rsid w:val="634F5F87"/>
    <w:rsid w:val="63EB46CB"/>
    <w:rsid w:val="646649AF"/>
    <w:rsid w:val="6581656A"/>
    <w:rsid w:val="6668191E"/>
    <w:rsid w:val="671D0C8D"/>
    <w:rsid w:val="67E0022B"/>
    <w:rsid w:val="681B594B"/>
    <w:rsid w:val="68844537"/>
    <w:rsid w:val="68DA1A7C"/>
    <w:rsid w:val="69A92D64"/>
    <w:rsid w:val="6A0241F2"/>
    <w:rsid w:val="6A9040D6"/>
    <w:rsid w:val="6AA50E24"/>
    <w:rsid w:val="6B9A7A3C"/>
    <w:rsid w:val="6D7D7C5F"/>
    <w:rsid w:val="6E685F96"/>
    <w:rsid w:val="6E733EFE"/>
    <w:rsid w:val="6F0569A9"/>
    <w:rsid w:val="747D61D8"/>
    <w:rsid w:val="759403E3"/>
    <w:rsid w:val="75E94C6D"/>
    <w:rsid w:val="77164D89"/>
    <w:rsid w:val="782D3BF8"/>
    <w:rsid w:val="78B60275"/>
    <w:rsid w:val="794B789B"/>
    <w:rsid w:val="7A7053A7"/>
    <w:rsid w:val="7B901D75"/>
    <w:rsid w:val="7C282676"/>
    <w:rsid w:val="7C4D0497"/>
    <w:rsid w:val="7DDF3558"/>
    <w:rsid w:val="7EDF1AC2"/>
    <w:rsid w:val="7F963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1"/>
      <w:lang w:val="en-US" w:eastAsia="zh-CN" w:bidi="ar-SA"/>
    </w:rPr>
  </w:style>
  <w:style w:type="paragraph" w:styleId="2">
    <w:name w:val="heading 2"/>
    <w:basedOn w:val="1"/>
    <w:next w:val="1"/>
    <w:qFormat/>
    <w:uiPriority w:val="0"/>
    <w:pPr>
      <w:keepNext/>
      <w:keepLines/>
      <w:spacing w:before="20" w:beforeLines="0" w:beforeAutospacing="0" w:after="20" w:afterLines="0" w:afterAutospacing="0" w:line="413" w:lineRule="auto"/>
      <w:ind w:leftChars="200"/>
      <w:outlineLvl w:val="1"/>
    </w:pPr>
    <w:rPr>
      <w:rFonts w:ascii="Arial" w:hAnsi="Arial" w:eastAsia="黑体"/>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uiPriority w:val="0"/>
    <w:pPr>
      <w:ind w:left="420" w:leftChars="200"/>
    </w:pPr>
  </w:style>
  <w:style w:type="paragraph" w:styleId="6">
    <w:name w:val="Normal (Web)"/>
    <w:basedOn w:val="1"/>
    <w:semiHidden/>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9">
    <w:name w:val="页脚 Char"/>
    <w:link w:val="3"/>
    <w:qFormat/>
    <w:uiPriority w:val="0"/>
    <w:rPr>
      <w:rFonts w:eastAsia="仿宋_GB2312"/>
      <w:kern w:val="2"/>
      <w:sz w:val="18"/>
      <w:szCs w:val="18"/>
      <w:lang w:bidi="ar-SA"/>
    </w:rPr>
  </w:style>
  <w:style w:type="character" w:customStyle="1" w:styleId="10">
    <w:name w:val="页眉 Char"/>
    <w:link w:val="4"/>
    <w:qFormat/>
    <w:uiPriority w:val="0"/>
    <w:rPr>
      <w:rFonts w:eastAsia="仿宋_GB2312"/>
      <w:kern w:val="2"/>
      <w:sz w:val="18"/>
      <w:szCs w:val="18"/>
    </w:rPr>
  </w:style>
  <w:style w:type="paragraph" w:customStyle="1" w:styleId="11">
    <w:name w:val="p0"/>
    <w:basedOn w:val="1"/>
    <w:qFormat/>
    <w:uiPriority w:val="0"/>
    <w:pPr>
      <w:widowControl/>
    </w:pPr>
    <w:rPr>
      <w:rFonts w:ascii="Calibri" w:hAnsi="Calibri" w:eastAsia="宋体" w:cs="宋体"/>
      <w:kern w:val="0"/>
      <w:sz w:val="21"/>
    </w:rPr>
  </w:style>
  <w:style w:type="paragraph" w:customStyle="1" w:styleId="12">
    <w:name w:val="正文缩进 + 首行缩进:  2 字符"/>
    <w:basedOn w:val="1"/>
    <w:qFormat/>
    <w:uiPriority w:val="0"/>
    <w:pPr>
      <w:spacing w:line="560" w:lineRule="exact"/>
      <w:ind w:firstLine="640"/>
    </w:pPr>
    <w:rPr>
      <w:rFonts w:ascii="仿宋" w:hAnsi="仿宋" w:eastAsia="仿宋" w:cs="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13</Pages>
  <Words>5406</Words>
  <Characters>6049</Characters>
  <Lines>33</Lines>
  <Paragraphs>9</Paragraphs>
  <TotalTime>17</TotalTime>
  <ScaleCrop>false</ScaleCrop>
  <LinksUpToDate>false</LinksUpToDate>
  <CharactersWithSpaces>6099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2022-09-06T10:01:00Z</dcterms:created>
  <dc:creator>Administrator</dc:creator>
  <cp:lastModifiedBy>王凡</cp:lastModifiedBy>
  <cp:lastPrinted>2020-08-27T00:17:00Z</cp:lastPrinted>
  <dcterms:modified xsi:type="dcterms:W3CDTF">2023-09-08T03:30:20Z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6D321A87BFDD4C6AA9FE493BC449AA74_13</vt:lpwstr>
  </property>
</Properties>
</file>